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Data Engineering Foundations</w:t>
        <w:br/>
        <w:t>Day 2 Full Guide — Expanded Version</w:t>
      </w:r>
    </w:p>
    <w:p/>
    <w:p>
      <w:pPr>
        <w:jc w:val="center"/>
      </w:pPr>
      <w:r>
        <w:rPr>
          <w:i/>
          <w:sz w:val="26"/>
        </w:rPr>
        <w:t>Data Warehousing Fundamentals and Mastering ETL / ELT Processes</w:t>
      </w:r>
    </w:p>
    <w:p/>
    <w:p>
      <w:pPr>
        <w:jc w:val="center"/>
      </w:pPr>
      <w:r>
        <w:rPr>
          <w:sz w:val="22"/>
        </w:rPr>
        <w:t>A complete standalone Day 2 guide with concept matrices, dimensional modeling detail, ETL/ELT patterns, SQL loading examples, and Mermaid diagrams.</w:t>
      </w:r>
    </w:p>
    <w:p>
      <w:r>
        <w:br w:type="page"/>
      </w:r>
    </w:p>
    <w:p>
      <w:pPr>
        <w:pStyle w:val="Heading1"/>
      </w:pPr>
      <w:r>
        <w:t>1. Day 2 Purpose and Learning Outcomes</w:t>
      </w:r>
    </w:p>
    <w:p>
      <w:r>
        <w:t>Day 2 moves learners from foundational concepts into the practical design of analytical storage and data movement. The day centers on data warehousing fundamentals, dimensional modeling, schema design, slowly changing dimensions, data extraction approaches, ETL versus ELT, and loading strategies for production-grade data platforms.</w:t>
      </w:r>
    </w:p>
    <w:p>
      <w:pPr>
        <w:pStyle w:val="ListBullet"/>
      </w:pPr>
      <w:r>
        <w:t>Understand the evolution from traditional data warehouses to lakes and lakehouses.</w:t>
      </w:r>
    </w:p>
    <w:p>
      <w:pPr>
        <w:pStyle w:val="ListBullet"/>
      </w:pPr>
      <w:r>
        <w:t>Define facts, dimensions, grain, conformed dimensions, and analytical marts.</w:t>
      </w:r>
    </w:p>
    <w:p>
      <w:pPr>
        <w:pStyle w:val="ListBullet"/>
      </w:pPr>
      <w:r>
        <w:t>Compare star and snowflake schema choices and when to use each.</w:t>
      </w:r>
    </w:p>
    <w:p>
      <w:pPr>
        <w:pStyle w:val="ListBullet"/>
      </w:pPr>
      <w:r>
        <w:t>Understand SCD approaches and when to preserve history.</w:t>
      </w:r>
    </w:p>
    <w:p>
      <w:pPr>
        <w:pStyle w:val="ListBullet"/>
      </w:pPr>
      <w:r>
        <w:t>Understand ETL and ELT in practical and production terms.</w:t>
      </w:r>
    </w:p>
    <w:p>
      <w:pPr>
        <w:pStyle w:val="ListBullet"/>
      </w:pPr>
      <w:r>
        <w:t>Choose between full load, incremental load, and CDC patterns.</w:t>
      </w:r>
    </w:p>
    <w:p>
      <w:pPr>
        <w:pStyle w:val="ListBullet"/>
      </w:pPr>
      <w:r>
        <w:t>Use SQL and ELT logic to validate, stage, transform, and merge warehouse data.</w:t>
      </w:r>
    </w:p>
    <w:p>
      <w:pPr>
        <w:pStyle w:val="ListBullet"/>
      </w:pPr>
      <w:r>
        <w:t>Connect warehousing and ETL design decisions to performance, governance, and downstream reporting needs.</w:t>
      </w:r>
    </w:p>
    <w:p>
      <w:pPr>
        <w:pStyle w:val="Heading1"/>
      </w:pPr>
      <w:r>
        <w:t>2. Core Day 2 Concept Matrix</w:t>
      </w:r>
    </w:p>
    <w:p>
      <w:r>
        <w:t>This matrix provides a Day 2 view of the most important warehousing and ETL concepts, linked to descriptions and example tools or patterns.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Calibri" w:hAnsi="Calibri"/>
                <w:b/>
                <w:sz w:val="20"/>
              </w:rPr>
              <w:t>Concept</w:t>
            </w:r>
          </w:p>
        </w:tc>
        <w:tc>
          <w:tcPr>
            <w:tcW w:type="dxa" w:w="3312"/>
            <w:vAlign w:val="center"/>
            <w:shd w:fill="D9E2F3"/>
          </w:tcPr>
          <w:p>
            <w:r>
              <w:rPr>
                <w:rFonts w:ascii="Calibri" w:hAnsi="Calibri"/>
                <w:b/>
                <w:sz w:val="20"/>
              </w:rPr>
              <w:t>Description</w:t>
            </w:r>
          </w:p>
        </w:tc>
        <w:tc>
          <w:tcPr>
            <w:tcW w:type="dxa" w:w="3312"/>
            <w:vAlign w:val="center"/>
            <w:shd w:fill="D9E2F3"/>
          </w:tcPr>
          <w:p>
            <w:r>
              <w:rPr>
                <w:rFonts w:ascii="Calibri" w:hAnsi="Calibri"/>
                <w:b/>
                <w:sz w:val="20"/>
              </w:rPr>
              <w:t>Example / Tool</w:t>
            </w:r>
          </w:p>
        </w:tc>
      </w:tr>
      <w:tr>
        <w:tc>
          <w:tcPr>
            <w:tcW w:type="dxa" w:w="3312"/>
            <w:vAlign w:val="center"/>
          </w:tcPr>
          <w:p>
            <w:r>
              <w:rPr>
                <w:rFonts w:ascii="Calibri" w:hAnsi="Calibri"/>
                <w:sz w:val="20"/>
              </w:rPr>
              <w:t>Data Warehouse</w:t>
            </w:r>
          </w:p>
        </w:tc>
        <w:tc>
          <w:tcPr>
            <w:tcW w:type="dxa" w:w="3312"/>
            <w:vAlign w:val="center"/>
          </w:tcPr>
          <w:p>
            <w:r>
              <w:rPr>
                <w:rFonts w:ascii="Calibri" w:hAnsi="Calibri"/>
                <w:sz w:val="20"/>
              </w:rPr>
              <w:t>Curated analytical store optimized for reporting, historical analysis, and governed access.</w:t>
            </w:r>
          </w:p>
        </w:tc>
        <w:tc>
          <w:tcPr>
            <w:tcW w:type="dxa" w:w="3312"/>
            <w:vAlign w:val="center"/>
          </w:tcPr>
          <w:p>
            <w:r>
              <w:rPr>
                <w:rFonts w:ascii="Calibri" w:hAnsi="Calibri"/>
                <w:sz w:val="20"/>
              </w:rPr>
              <w:t>Fabric Warehouse, Synapse SQL, Snowflake, BigQuery</w:t>
            </w:r>
          </w:p>
        </w:tc>
      </w:tr>
      <w:tr>
        <w:tc>
          <w:tcPr>
            <w:tcW w:type="dxa" w:w="3312"/>
            <w:vAlign w:val="center"/>
          </w:tcPr>
          <w:p>
            <w:r>
              <w:rPr>
                <w:rFonts w:ascii="Calibri" w:hAnsi="Calibri"/>
                <w:sz w:val="20"/>
              </w:rPr>
              <w:t>Data Lake</w:t>
            </w:r>
          </w:p>
        </w:tc>
        <w:tc>
          <w:tcPr>
            <w:tcW w:type="dxa" w:w="3312"/>
            <w:vAlign w:val="center"/>
          </w:tcPr>
          <w:p>
            <w:r>
              <w:rPr>
                <w:rFonts w:ascii="Calibri" w:hAnsi="Calibri"/>
                <w:sz w:val="20"/>
              </w:rPr>
              <w:t>Low-cost scalable storage for raw and semi-structured data.</w:t>
            </w:r>
          </w:p>
        </w:tc>
        <w:tc>
          <w:tcPr>
            <w:tcW w:type="dxa" w:w="3312"/>
            <w:vAlign w:val="center"/>
          </w:tcPr>
          <w:p>
            <w:r>
              <w:rPr>
                <w:rFonts w:ascii="Calibri" w:hAnsi="Calibri"/>
                <w:sz w:val="20"/>
              </w:rPr>
              <w:t>OneLake, ADLS, S3, Parquet</w:t>
            </w:r>
          </w:p>
        </w:tc>
      </w:tr>
      <w:tr>
        <w:tc>
          <w:tcPr>
            <w:tcW w:type="dxa" w:w="3312"/>
            <w:vAlign w:val="center"/>
          </w:tcPr>
          <w:p>
            <w:r>
              <w:rPr>
                <w:rFonts w:ascii="Calibri" w:hAnsi="Calibri"/>
                <w:sz w:val="20"/>
              </w:rPr>
              <w:t>Lakehouse</w:t>
            </w:r>
          </w:p>
        </w:tc>
        <w:tc>
          <w:tcPr>
            <w:tcW w:type="dxa" w:w="3312"/>
            <w:vAlign w:val="center"/>
          </w:tcPr>
          <w:p>
            <w:r>
              <w:rPr>
                <w:rFonts w:ascii="Calibri" w:hAnsi="Calibri"/>
                <w:sz w:val="20"/>
              </w:rPr>
              <w:t>Combines open storage with warehouse-style analytics and governance.</w:t>
            </w:r>
          </w:p>
        </w:tc>
        <w:tc>
          <w:tcPr>
            <w:tcW w:type="dxa" w:w="3312"/>
            <w:vAlign w:val="center"/>
          </w:tcPr>
          <w:p>
            <w:r>
              <w:rPr>
                <w:rFonts w:ascii="Calibri" w:hAnsi="Calibri"/>
                <w:sz w:val="20"/>
              </w:rPr>
              <w:t>Fabric Lakehouse, Delta Lake</w:t>
            </w:r>
          </w:p>
        </w:tc>
      </w:tr>
      <w:tr>
        <w:tc>
          <w:tcPr>
            <w:tcW w:type="dxa" w:w="3312"/>
            <w:vAlign w:val="center"/>
          </w:tcPr>
          <w:p>
            <w:r>
              <w:rPr>
                <w:rFonts w:ascii="Calibri" w:hAnsi="Calibri"/>
                <w:sz w:val="20"/>
              </w:rPr>
              <w:t>Dimensional Modeling</w:t>
            </w:r>
          </w:p>
        </w:tc>
        <w:tc>
          <w:tcPr>
            <w:tcW w:type="dxa" w:w="3312"/>
            <w:vAlign w:val="center"/>
          </w:tcPr>
          <w:p>
            <w:r>
              <w:rPr>
                <w:rFonts w:ascii="Calibri" w:hAnsi="Calibri"/>
                <w:sz w:val="20"/>
              </w:rPr>
              <w:t>Organizing analytical data around facts and dimensions.</w:t>
            </w:r>
          </w:p>
        </w:tc>
        <w:tc>
          <w:tcPr>
            <w:tcW w:type="dxa" w:w="3312"/>
            <w:vAlign w:val="center"/>
          </w:tcPr>
          <w:p>
            <w:r>
              <w:rPr>
                <w:rFonts w:ascii="Calibri" w:hAnsi="Calibri"/>
                <w:sz w:val="20"/>
              </w:rPr>
              <w:t>Star schema, semantic models, Kimball-style marts</w:t>
            </w:r>
          </w:p>
        </w:tc>
      </w:tr>
      <w:tr>
        <w:tc>
          <w:tcPr>
            <w:tcW w:type="dxa" w:w="3312"/>
            <w:vAlign w:val="center"/>
          </w:tcPr>
          <w:p>
            <w:r>
              <w:rPr>
                <w:rFonts w:ascii="Calibri" w:hAnsi="Calibri"/>
                <w:sz w:val="20"/>
              </w:rPr>
              <w:t>Fact Table</w:t>
            </w:r>
          </w:p>
        </w:tc>
        <w:tc>
          <w:tcPr>
            <w:tcW w:type="dxa" w:w="3312"/>
            <w:vAlign w:val="center"/>
          </w:tcPr>
          <w:p>
            <w:r>
              <w:rPr>
                <w:rFonts w:ascii="Calibri" w:hAnsi="Calibri"/>
                <w:sz w:val="20"/>
              </w:rPr>
              <w:t>Stores measurable business events or metrics at a defined grain.</w:t>
            </w:r>
          </w:p>
        </w:tc>
        <w:tc>
          <w:tcPr>
            <w:tcW w:type="dxa" w:w="3312"/>
            <w:vAlign w:val="center"/>
          </w:tcPr>
          <w:p>
            <w:r>
              <w:rPr>
                <w:rFonts w:ascii="Calibri" w:hAnsi="Calibri"/>
                <w:sz w:val="20"/>
              </w:rPr>
              <w:t>fact_sales, fact_bookings, fact_order_line</w:t>
            </w:r>
          </w:p>
        </w:tc>
      </w:tr>
      <w:tr>
        <w:tc>
          <w:tcPr>
            <w:tcW w:type="dxa" w:w="3312"/>
            <w:vAlign w:val="center"/>
          </w:tcPr>
          <w:p>
            <w:r>
              <w:rPr>
                <w:rFonts w:ascii="Calibri" w:hAnsi="Calibri"/>
                <w:sz w:val="20"/>
              </w:rPr>
              <w:t>Dimension Table</w:t>
            </w:r>
          </w:p>
        </w:tc>
        <w:tc>
          <w:tcPr>
            <w:tcW w:type="dxa" w:w="3312"/>
            <w:vAlign w:val="center"/>
          </w:tcPr>
          <w:p>
            <w:r>
              <w:rPr>
                <w:rFonts w:ascii="Calibri" w:hAnsi="Calibri"/>
                <w:sz w:val="20"/>
              </w:rPr>
              <w:t>Stores descriptive context used to filter and group facts.</w:t>
            </w:r>
          </w:p>
        </w:tc>
        <w:tc>
          <w:tcPr>
            <w:tcW w:type="dxa" w:w="3312"/>
            <w:vAlign w:val="center"/>
          </w:tcPr>
          <w:p>
            <w:r>
              <w:rPr>
                <w:rFonts w:ascii="Calibri" w:hAnsi="Calibri"/>
                <w:sz w:val="20"/>
              </w:rPr>
              <w:t>dim_customer, dim_product, dim_date</w:t>
            </w:r>
          </w:p>
        </w:tc>
      </w:tr>
      <w:tr>
        <w:tc>
          <w:tcPr>
            <w:tcW w:type="dxa" w:w="3312"/>
            <w:vAlign w:val="center"/>
          </w:tcPr>
          <w:p>
            <w:r>
              <w:rPr>
                <w:rFonts w:ascii="Calibri" w:hAnsi="Calibri"/>
                <w:sz w:val="20"/>
              </w:rPr>
              <w:t>SCD Management</w:t>
            </w:r>
          </w:p>
        </w:tc>
        <w:tc>
          <w:tcPr>
            <w:tcW w:type="dxa" w:w="3312"/>
            <w:vAlign w:val="center"/>
          </w:tcPr>
          <w:p>
            <w:r>
              <w:rPr>
                <w:rFonts w:ascii="Calibri" w:hAnsi="Calibri"/>
                <w:sz w:val="20"/>
              </w:rPr>
              <w:t>Controls how dimension changes are stored over time.</w:t>
            </w:r>
          </w:p>
        </w:tc>
        <w:tc>
          <w:tcPr>
            <w:tcW w:type="dxa" w:w="3312"/>
            <w:vAlign w:val="center"/>
          </w:tcPr>
          <w:p>
            <w:r>
              <w:rPr>
                <w:rFonts w:ascii="Calibri" w:hAnsi="Calibri"/>
                <w:sz w:val="20"/>
              </w:rPr>
              <w:t>Type 1, Type 2, MERGE logic</w:t>
            </w:r>
          </w:p>
        </w:tc>
      </w:tr>
      <w:tr>
        <w:tc>
          <w:tcPr>
            <w:tcW w:type="dxa" w:w="3312"/>
            <w:vAlign w:val="center"/>
          </w:tcPr>
          <w:p>
            <w:r>
              <w:rPr>
                <w:rFonts w:ascii="Calibri" w:hAnsi="Calibri"/>
                <w:sz w:val="20"/>
              </w:rPr>
              <w:t>ETL</w:t>
            </w:r>
          </w:p>
        </w:tc>
        <w:tc>
          <w:tcPr>
            <w:tcW w:type="dxa" w:w="3312"/>
            <w:vAlign w:val="center"/>
          </w:tcPr>
          <w:p>
            <w:r>
              <w:rPr>
                <w:rFonts w:ascii="Calibri" w:hAnsi="Calibri"/>
                <w:sz w:val="20"/>
              </w:rPr>
              <w:t>Transform before load into the target.</w:t>
            </w:r>
          </w:p>
        </w:tc>
        <w:tc>
          <w:tcPr>
            <w:tcW w:type="dxa" w:w="3312"/>
            <w:vAlign w:val="center"/>
          </w:tcPr>
          <w:p>
            <w:r>
              <w:rPr>
                <w:rFonts w:ascii="Calibri" w:hAnsi="Calibri"/>
                <w:sz w:val="20"/>
              </w:rPr>
              <w:t>Informatica patterns, integrated dataflows</w:t>
            </w:r>
          </w:p>
        </w:tc>
      </w:tr>
      <w:tr>
        <w:tc>
          <w:tcPr>
            <w:tcW w:type="dxa" w:w="3312"/>
            <w:vAlign w:val="center"/>
          </w:tcPr>
          <w:p>
            <w:r>
              <w:rPr>
                <w:rFonts w:ascii="Calibri" w:hAnsi="Calibri"/>
                <w:sz w:val="20"/>
              </w:rPr>
              <w:t>ELT</w:t>
            </w:r>
          </w:p>
        </w:tc>
        <w:tc>
          <w:tcPr>
            <w:tcW w:type="dxa" w:w="3312"/>
            <w:vAlign w:val="center"/>
          </w:tcPr>
          <w:p>
            <w:r>
              <w:rPr>
                <w:rFonts w:ascii="Calibri" w:hAnsi="Calibri"/>
                <w:sz w:val="20"/>
              </w:rPr>
              <w:t>Load raw data first and transform in the target platform.</w:t>
            </w:r>
          </w:p>
        </w:tc>
        <w:tc>
          <w:tcPr>
            <w:tcW w:type="dxa" w:w="3312"/>
            <w:vAlign w:val="center"/>
          </w:tcPr>
          <w:p>
            <w:r>
              <w:rPr>
                <w:rFonts w:ascii="Calibri" w:hAnsi="Calibri"/>
                <w:sz w:val="20"/>
              </w:rPr>
              <w:t>Warehouse SQL, dbt-style transforms, Spark SQL</w:t>
            </w:r>
          </w:p>
        </w:tc>
      </w:tr>
      <w:tr>
        <w:tc>
          <w:tcPr>
            <w:tcW w:type="dxa" w:w="3312"/>
            <w:vAlign w:val="center"/>
          </w:tcPr>
          <w:p>
            <w:r>
              <w:rPr>
                <w:rFonts w:ascii="Calibri" w:hAnsi="Calibri"/>
                <w:sz w:val="20"/>
              </w:rPr>
              <w:t>Incremental Loading</w:t>
            </w:r>
          </w:p>
        </w:tc>
        <w:tc>
          <w:tcPr>
            <w:tcW w:type="dxa" w:w="3312"/>
            <w:vAlign w:val="center"/>
          </w:tcPr>
          <w:p>
            <w:r>
              <w:rPr>
                <w:rFonts w:ascii="Calibri" w:hAnsi="Calibri"/>
                <w:sz w:val="20"/>
              </w:rPr>
              <w:t>Only load changed data since the last run.</w:t>
            </w:r>
          </w:p>
        </w:tc>
        <w:tc>
          <w:tcPr>
            <w:tcW w:type="dxa" w:w="3312"/>
            <w:vAlign w:val="center"/>
          </w:tcPr>
          <w:p>
            <w:r>
              <w:rPr>
                <w:rFonts w:ascii="Calibri" w:hAnsi="Calibri"/>
                <w:sz w:val="20"/>
              </w:rPr>
              <w:t>Watermarks, CDC, MERGE</w:t>
            </w:r>
          </w:p>
        </w:tc>
      </w:tr>
      <w:tr>
        <w:tc>
          <w:tcPr>
            <w:tcW w:type="dxa" w:w="3312"/>
            <w:vAlign w:val="center"/>
          </w:tcPr>
          <w:p>
            <w:r>
              <w:rPr>
                <w:rFonts w:ascii="Calibri" w:hAnsi="Calibri"/>
                <w:sz w:val="20"/>
              </w:rPr>
              <w:t>Quality Validation</w:t>
            </w:r>
          </w:p>
        </w:tc>
        <w:tc>
          <w:tcPr>
            <w:tcW w:type="dxa" w:w="3312"/>
            <w:vAlign w:val="center"/>
          </w:tcPr>
          <w:p>
            <w:r>
              <w:rPr>
                <w:rFonts w:ascii="Calibri" w:hAnsi="Calibri"/>
                <w:sz w:val="20"/>
              </w:rPr>
              <w:t>Check correctness, completeness, and referential integrity.</w:t>
            </w:r>
          </w:p>
        </w:tc>
        <w:tc>
          <w:tcPr>
            <w:tcW w:type="dxa" w:w="3312"/>
            <w:vAlign w:val="center"/>
          </w:tcPr>
          <w:p>
            <w:r>
              <w:rPr>
                <w:rFonts w:ascii="Calibri" w:hAnsi="Calibri"/>
                <w:sz w:val="20"/>
              </w:rPr>
              <w:t>SQL tests, reconciliation queries, rule-based validation</w:t>
            </w:r>
          </w:p>
        </w:tc>
      </w:tr>
    </w:tbl>
    <w:p/>
    <w:p>
      <w:pPr>
        <w:pStyle w:val="Heading1"/>
      </w:pPr>
      <w:r>
        <w:t>3. Data Warehousing Fundamentals</w:t>
      </w:r>
    </w:p>
    <w:p>
      <w:r>
        <w:t>A data warehouse is a system designed to store integrated historical data in a manner optimized for analytics, reporting, and governed business access. Warehouses typically emphasize consistency, stable business definitions, traceability, and performance for analytical queries.</w:t>
      </w:r>
    </w:p>
    <w:p>
      <w:pPr>
        <w:pStyle w:val="Heading2"/>
      </w:pPr>
      <w:r>
        <w:t>Why Warehouses Exist</w:t>
      </w:r>
    </w:p>
    <w:p>
      <w:pPr>
        <w:pStyle w:val="ListBullet"/>
      </w:pPr>
      <w:r>
        <w:t>Operational systems are not ideal for large analytical scans and multi-year reporting logic.</w:t>
      </w:r>
    </w:p>
    <w:p>
      <w:pPr>
        <w:pStyle w:val="ListBullet"/>
      </w:pPr>
      <w:r>
        <w:t>Business users need stable definitions of metrics and dimensions.</w:t>
      </w:r>
    </w:p>
    <w:p>
      <w:pPr>
        <w:pStyle w:val="ListBullet"/>
      </w:pPr>
      <w:r>
        <w:t>Analytical platforms must support historical trending, comparison, and aggregation.</w:t>
      </w:r>
    </w:p>
    <w:p>
      <w:pPr>
        <w:pStyle w:val="ListBullet"/>
      </w:pPr>
      <w:r>
        <w:t>Governance, access control, auditability, and quality controls must be easier to manage centrally.</w:t>
      </w:r>
    </w:p>
    <w:p>
      <w:pPr>
        <w:pStyle w:val="Heading2"/>
      </w:pPr>
      <w:r>
        <w:t>Warehouse vs Lake vs Lakehouse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2F3"/>
          </w:tcPr>
          <w:p>
            <w:r>
              <w:rPr>
                <w:rFonts w:ascii="Calibri" w:hAnsi="Calibri"/>
                <w:b/>
                <w:sz w:val="20"/>
              </w:rPr>
              <w:t>Architecture</w:t>
            </w:r>
          </w:p>
        </w:tc>
        <w:tc>
          <w:tcPr>
            <w:tcW w:type="dxa" w:w="2484"/>
            <w:vAlign w:val="center"/>
            <w:shd w:fill="D9E2F3"/>
          </w:tcPr>
          <w:p>
            <w:r>
              <w:rPr>
                <w:rFonts w:ascii="Calibri" w:hAnsi="Calibri"/>
                <w:b/>
                <w:sz w:val="20"/>
              </w:rPr>
              <w:t>What It Emphasizes</w:t>
            </w:r>
          </w:p>
        </w:tc>
        <w:tc>
          <w:tcPr>
            <w:tcW w:type="dxa" w:w="2484"/>
            <w:vAlign w:val="center"/>
            <w:shd w:fill="D9E2F3"/>
          </w:tcPr>
          <w:p>
            <w:r>
              <w:rPr>
                <w:rFonts w:ascii="Calibri" w:hAnsi="Calibri"/>
                <w:b/>
                <w:sz w:val="20"/>
              </w:rPr>
              <w:t>Strengths</w:t>
            </w:r>
          </w:p>
        </w:tc>
        <w:tc>
          <w:tcPr>
            <w:tcW w:type="dxa" w:w="2484"/>
            <w:vAlign w:val="center"/>
            <w:shd w:fill="D9E2F3"/>
          </w:tcPr>
          <w:p>
            <w:r>
              <w:rPr>
                <w:rFonts w:ascii="Calibri" w:hAnsi="Calibri"/>
                <w:b/>
                <w:sz w:val="20"/>
              </w:rPr>
              <w:t>Trade-Offs</w:t>
            </w:r>
          </w:p>
        </w:tc>
      </w:tr>
      <w:tr>
        <w:tc>
          <w:tcPr>
            <w:tcW w:type="dxa" w:w="2484"/>
            <w:vAlign w:val="center"/>
          </w:tcPr>
          <w:p>
            <w:r>
              <w:rPr>
                <w:rFonts w:ascii="Calibri" w:hAnsi="Calibri"/>
                <w:sz w:val="20"/>
              </w:rPr>
              <w:t>Data Warehouse</w:t>
            </w:r>
          </w:p>
        </w:tc>
        <w:tc>
          <w:tcPr>
            <w:tcW w:type="dxa" w:w="2484"/>
            <w:vAlign w:val="center"/>
          </w:tcPr>
          <w:p>
            <w:r>
              <w:rPr>
                <w:rFonts w:ascii="Calibri" w:hAnsi="Calibri"/>
                <w:sz w:val="20"/>
              </w:rPr>
              <w:t>Curated analytical structures</w:t>
            </w:r>
          </w:p>
        </w:tc>
        <w:tc>
          <w:tcPr>
            <w:tcW w:type="dxa" w:w="2484"/>
            <w:vAlign w:val="center"/>
          </w:tcPr>
          <w:p>
            <w:r>
              <w:rPr>
                <w:rFonts w:ascii="Calibri" w:hAnsi="Calibri"/>
                <w:sz w:val="20"/>
              </w:rPr>
              <w:t>Strong SQL and BI support, governed semantics</w:t>
            </w:r>
          </w:p>
        </w:tc>
        <w:tc>
          <w:tcPr>
            <w:tcW w:type="dxa" w:w="2484"/>
            <w:vAlign w:val="center"/>
          </w:tcPr>
          <w:p>
            <w:r>
              <w:rPr>
                <w:rFonts w:ascii="Calibri" w:hAnsi="Calibri"/>
                <w:sz w:val="20"/>
              </w:rPr>
              <w:t>Historically less flexible for raw data</w:t>
            </w:r>
          </w:p>
        </w:tc>
      </w:tr>
      <w:tr>
        <w:tc>
          <w:tcPr>
            <w:tcW w:type="dxa" w:w="2484"/>
            <w:vAlign w:val="center"/>
          </w:tcPr>
          <w:p>
            <w:r>
              <w:rPr>
                <w:rFonts w:ascii="Calibri" w:hAnsi="Calibri"/>
                <w:sz w:val="20"/>
              </w:rPr>
              <w:t>Data Lake</w:t>
            </w:r>
          </w:p>
        </w:tc>
        <w:tc>
          <w:tcPr>
            <w:tcW w:type="dxa" w:w="2484"/>
            <w:vAlign w:val="center"/>
          </w:tcPr>
          <w:p>
            <w:r>
              <w:rPr>
                <w:rFonts w:ascii="Calibri" w:hAnsi="Calibri"/>
                <w:sz w:val="20"/>
              </w:rPr>
              <w:t>Low-cost scalable raw storage</w:t>
            </w:r>
          </w:p>
        </w:tc>
        <w:tc>
          <w:tcPr>
            <w:tcW w:type="dxa" w:w="2484"/>
            <w:vAlign w:val="center"/>
          </w:tcPr>
          <w:p>
            <w:r>
              <w:rPr>
                <w:rFonts w:ascii="Calibri" w:hAnsi="Calibri"/>
                <w:sz w:val="20"/>
              </w:rPr>
              <w:t>Flexibility, open formats, raw retention</w:t>
            </w:r>
          </w:p>
        </w:tc>
        <w:tc>
          <w:tcPr>
            <w:tcW w:type="dxa" w:w="2484"/>
            <w:vAlign w:val="center"/>
          </w:tcPr>
          <w:p>
            <w:r>
              <w:rPr>
                <w:rFonts w:ascii="Calibri" w:hAnsi="Calibri"/>
                <w:sz w:val="20"/>
              </w:rPr>
              <w:t>Needs strong discipline to avoid becoming disorganized</w:t>
            </w:r>
          </w:p>
        </w:tc>
      </w:tr>
      <w:tr>
        <w:tc>
          <w:tcPr>
            <w:tcW w:type="dxa" w:w="2484"/>
            <w:vAlign w:val="center"/>
          </w:tcPr>
          <w:p>
            <w:r>
              <w:rPr>
                <w:rFonts w:ascii="Calibri" w:hAnsi="Calibri"/>
                <w:sz w:val="20"/>
              </w:rPr>
              <w:t>Lakehouse</w:t>
            </w:r>
          </w:p>
        </w:tc>
        <w:tc>
          <w:tcPr>
            <w:tcW w:type="dxa" w:w="2484"/>
            <w:vAlign w:val="center"/>
          </w:tcPr>
          <w:p>
            <w:r>
              <w:rPr>
                <w:rFonts w:ascii="Calibri" w:hAnsi="Calibri"/>
                <w:sz w:val="20"/>
              </w:rPr>
              <w:t>Open storage plus analytical table semantics</w:t>
            </w:r>
          </w:p>
        </w:tc>
        <w:tc>
          <w:tcPr>
            <w:tcW w:type="dxa" w:w="2484"/>
            <w:vAlign w:val="center"/>
          </w:tcPr>
          <w:p>
            <w:r>
              <w:rPr>
                <w:rFonts w:ascii="Calibri" w:hAnsi="Calibri"/>
                <w:sz w:val="20"/>
              </w:rPr>
              <w:t>Combines raw flexibility with warehouse-like querying</w:t>
            </w:r>
          </w:p>
        </w:tc>
        <w:tc>
          <w:tcPr>
            <w:tcW w:type="dxa" w:w="2484"/>
            <w:vAlign w:val="center"/>
          </w:tcPr>
          <w:p>
            <w:r>
              <w:rPr>
                <w:rFonts w:ascii="Calibri" w:hAnsi="Calibri"/>
                <w:sz w:val="20"/>
              </w:rPr>
              <w:t>Still requires governance and operational discipline</w:t>
            </w:r>
          </w:p>
        </w:tc>
      </w:tr>
    </w:tbl>
    <w:p/>
    <w:p>
      <w:pPr>
        <w:ind w:left="360" w:right="360"/>
        <w:shd w:fill="F3F5F7"/>
      </w:pPr>
      <w:r>
        <w:rPr>
          <w:rFonts w:ascii="Courier New" w:hAnsi="Courier New"/>
          <w:sz w:val="18"/>
        </w:rPr>
        <w:t>```mermaid</w:t>
      </w:r>
    </w:p>
    <w:p>
      <w:pPr>
        <w:ind w:left="360" w:right="360"/>
        <w:shd w:fill="F3F5F7"/>
      </w:pPr>
      <w:r>
        <w:rPr>
          <w:rFonts w:ascii="Courier New" w:hAnsi="Courier New"/>
          <w:sz w:val="18"/>
        </w:rPr>
        <w:t>flowchart LR</w:t>
      </w:r>
    </w:p>
    <w:p>
      <w:pPr>
        <w:ind w:left="360" w:right="360"/>
        <w:shd w:fill="F3F5F7"/>
      </w:pPr>
      <w:r>
        <w:rPr>
          <w:rFonts w:ascii="Courier New" w:hAnsi="Courier New"/>
          <w:sz w:val="18"/>
        </w:rPr>
        <w:t xml:space="preserve">    A[Operational Sources / APIs / Files / Events] --&gt; B[Raw Storage]</w:t>
      </w:r>
    </w:p>
    <w:p>
      <w:pPr>
        <w:ind w:left="360" w:right="360"/>
        <w:shd w:fill="F3F5F7"/>
      </w:pPr>
      <w:r>
        <w:rPr>
          <w:rFonts w:ascii="Courier New" w:hAnsi="Courier New"/>
          <w:sz w:val="18"/>
        </w:rPr>
        <w:t xml:space="preserve">    B --&gt; C[Lakehouse Tables / Transform Layer]</w:t>
      </w:r>
    </w:p>
    <w:p>
      <w:pPr>
        <w:ind w:left="360" w:right="360"/>
        <w:shd w:fill="F3F5F7"/>
      </w:pPr>
      <w:r>
        <w:rPr>
          <w:rFonts w:ascii="Courier New" w:hAnsi="Courier New"/>
          <w:sz w:val="18"/>
        </w:rPr>
        <w:t xml:space="preserve">    C --&gt; D[Warehouse-style Models / Marts]</w:t>
      </w:r>
    </w:p>
    <w:p>
      <w:pPr>
        <w:ind w:left="360" w:right="360"/>
        <w:shd w:fill="F3F5F7"/>
      </w:pPr>
      <w:r>
        <w:rPr>
          <w:rFonts w:ascii="Courier New" w:hAnsi="Courier New"/>
          <w:sz w:val="18"/>
        </w:rPr>
        <w:t xml:space="preserve">    D --&gt; E[Dashboards / ML / Analytics]</w:t>
      </w:r>
    </w:p>
    <w:p>
      <w:pPr>
        <w:ind w:left="360" w:right="360"/>
        <w:shd w:fill="F3F5F7"/>
      </w:pPr>
      <w:r>
        <w:rPr>
          <w:rFonts w:ascii="Courier New" w:hAnsi="Courier New"/>
          <w:sz w:val="18"/>
        </w:rPr>
        <w:t>```</w:t>
      </w:r>
    </w:p>
    <w:p>
      <w:pPr>
        <w:pStyle w:val="Heading1"/>
      </w:pPr>
      <w:r>
        <w:t>4. Dimensional Modeling</w:t>
      </w:r>
    </w:p>
    <w:p>
      <w:r>
        <w:t>Dimensional modeling organizes analytical data around business processes and descriptive context. It is particularly effective for reporting, dashboarding, trend analysis, and user-friendly analytical structures. Two foundational concepts are facts and dimensions.</w:t>
      </w:r>
    </w:p>
    <w:p>
      <w:pPr>
        <w:pStyle w:val="Heading2"/>
      </w:pPr>
      <w:r>
        <w:t>Fact Tables</w:t>
      </w:r>
    </w:p>
    <w:p>
      <w:r>
        <w:t>Fact tables store measurable events or metrics, typically at a clear and fixed grain. A fact row might represent an order line, a booking segment, an invoice line, or a page view depending on the business process.</w:t>
      </w:r>
    </w:p>
    <w:p>
      <w:pPr>
        <w:pStyle w:val="ListBullet"/>
      </w:pPr>
      <w:r>
        <w:t>Measures often include revenue, quantity, discount, cost, seats sold, baggage fee, duration, or event count.</w:t>
      </w:r>
    </w:p>
    <w:p>
      <w:pPr>
        <w:pStyle w:val="ListBullet"/>
      </w:pPr>
      <w:r>
        <w:t>Facts usually carry foreign keys to dimension tables.</w:t>
      </w:r>
    </w:p>
    <w:p>
      <w:pPr>
        <w:pStyle w:val="ListBullet"/>
      </w:pPr>
      <w:r>
        <w:t>The grain of the fact table must be explicit before design starts.</w:t>
      </w:r>
    </w:p>
    <w:p>
      <w:pPr>
        <w:pStyle w:val="Heading2"/>
      </w:pPr>
      <w:r>
        <w:t>Dimension Tables</w:t>
      </w:r>
    </w:p>
    <w:p>
      <w:r>
        <w:t>Dimension tables store descriptive context for facts. They provide labels, hierarchies, and grouping attributes that help users interpret and summarize measures.</w:t>
      </w:r>
    </w:p>
    <w:p>
      <w:pPr>
        <w:pStyle w:val="ListBullet"/>
      </w:pPr>
      <w:r>
        <w:t>Typical dimensions: customer, product, date, route, airport, region, channel, promotion.</w:t>
      </w:r>
    </w:p>
    <w:p>
      <w:pPr>
        <w:pStyle w:val="ListBullet"/>
      </w:pPr>
      <w:r>
        <w:t>Attributes often include category, segment, geography, tier, brand, or fiscal period.</w:t>
      </w:r>
    </w:p>
    <w:p>
      <w:pPr>
        <w:pStyle w:val="ListBullet"/>
      </w:pPr>
      <w:r>
        <w:t>Dimensions make analytical data understandable and filterable.</w:t>
      </w:r>
    </w:p>
    <w:p>
      <w:pPr>
        <w:pStyle w:val="Heading2"/>
      </w:pPr>
      <w:r>
        <w:t>The Importance of Grain</w:t>
      </w:r>
    </w:p>
    <w:p>
      <w:r>
        <w:t>Grain defines what one row in the fact table represents. If grain is ambiguous, measures and joins become unreliable. A well-defined grain is the foundation of a correct warehouse design.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Calibri" w:hAnsi="Calibri"/>
                <w:b/>
                <w:sz w:val="20"/>
              </w:rPr>
              <w:t>Business Process</w:t>
            </w:r>
          </w:p>
        </w:tc>
        <w:tc>
          <w:tcPr>
            <w:tcW w:type="dxa" w:w="3312"/>
            <w:vAlign w:val="center"/>
            <w:shd w:fill="D9E2F3"/>
          </w:tcPr>
          <w:p>
            <w:r>
              <w:rPr>
                <w:rFonts w:ascii="Calibri" w:hAnsi="Calibri"/>
                <w:b/>
                <w:sz w:val="20"/>
              </w:rPr>
              <w:t>Possible Grain</w:t>
            </w:r>
          </w:p>
        </w:tc>
        <w:tc>
          <w:tcPr>
            <w:tcW w:type="dxa" w:w="3312"/>
            <w:vAlign w:val="center"/>
            <w:shd w:fill="D9E2F3"/>
          </w:tcPr>
          <w:p>
            <w:r>
              <w:rPr>
                <w:rFonts w:ascii="Calibri" w:hAnsi="Calibri"/>
                <w:b/>
                <w:sz w:val="20"/>
              </w:rPr>
              <w:t>Example</w:t>
            </w:r>
          </w:p>
        </w:tc>
      </w:tr>
      <w:tr>
        <w:tc>
          <w:tcPr>
            <w:tcW w:type="dxa" w:w="3312"/>
            <w:vAlign w:val="center"/>
          </w:tcPr>
          <w:p>
            <w:r>
              <w:rPr>
                <w:rFonts w:ascii="Calibri" w:hAnsi="Calibri"/>
                <w:sz w:val="20"/>
              </w:rPr>
              <w:t>Retail Sales</w:t>
            </w:r>
          </w:p>
        </w:tc>
        <w:tc>
          <w:tcPr>
            <w:tcW w:type="dxa" w:w="3312"/>
            <w:vAlign w:val="center"/>
          </w:tcPr>
          <w:p>
            <w:r>
              <w:rPr>
                <w:rFonts w:ascii="Calibri" w:hAnsi="Calibri"/>
                <w:sz w:val="20"/>
              </w:rPr>
              <w:t>One row per order line</w:t>
            </w:r>
          </w:p>
        </w:tc>
        <w:tc>
          <w:tcPr>
            <w:tcW w:type="dxa" w:w="3312"/>
            <w:vAlign w:val="center"/>
          </w:tcPr>
          <w:p>
            <w:r>
              <w:rPr>
                <w:rFonts w:ascii="Calibri" w:hAnsi="Calibri"/>
                <w:sz w:val="20"/>
              </w:rPr>
              <w:t>Each SKU on each order gets its own fact row</w:t>
            </w:r>
          </w:p>
        </w:tc>
      </w:tr>
      <w:tr>
        <w:tc>
          <w:tcPr>
            <w:tcW w:type="dxa" w:w="3312"/>
            <w:vAlign w:val="center"/>
          </w:tcPr>
          <w:p>
            <w:r>
              <w:rPr>
                <w:rFonts w:ascii="Calibri" w:hAnsi="Calibri"/>
                <w:sz w:val="20"/>
              </w:rPr>
              <w:t>Airline Booking</w:t>
            </w:r>
          </w:p>
        </w:tc>
        <w:tc>
          <w:tcPr>
            <w:tcW w:type="dxa" w:w="3312"/>
            <w:vAlign w:val="center"/>
          </w:tcPr>
          <w:p>
            <w:r>
              <w:rPr>
                <w:rFonts w:ascii="Calibri" w:hAnsi="Calibri"/>
                <w:sz w:val="20"/>
              </w:rPr>
              <w:t>One row per booking segment</w:t>
            </w:r>
          </w:p>
        </w:tc>
        <w:tc>
          <w:tcPr>
            <w:tcW w:type="dxa" w:w="3312"/>
            <w:vAlign w:val="center"/>
          </w:tcPr>
          <w:p>
            <w:r>
              <w:rPr>
                <w:rFonts w:ascii="Calibri" w:hAnsi="Calibri"/>
                <w:sz w:val="20"/>
              </w:rPr>
              <w:t>One traveler on one flight segment</w:t>
            </w:r>
          </w:p>
        </w:tc>
      </w:tr>
      <w:tr>
        <w:tc>
          <w:tcPr>
            <w:tcW w:type="dxa" w:w="3312"/>
            <w:vAlign w:val="center"/>
          </w:tcPr>
          <w:p>
            <w:r>
              <w:rPr>
                <w:rFonts w:ascii="Calibri" w:hAnsi="Calibri"/>
                <w:sz w:val="20"/>
              </w:rPr>
              <w:t>Web Analytics</w:t>
            </w:r>
          </w:p>
        </w:tc>
        <w:tc>
          <w:tcPr>
            <w:tcW w:type="dxa" w:w="3312"/>
            <w:vAlign w:val="center"/>
          </w:tcPr>
          <w:p>
            <w:r>
              <w:rPr>
                <w:rFonts w:ascii="Calibri" w:hAnsi="Calibri"/>
                <w:sz w:val="20"/>
              </w:rPr>
              <w:t>One row per event</w:t>
            </w:r>
          </w:p>
        </w:tc>
        <w:tc>
          <w:tcPr>
            <w:tcW w:type="dxa" w:w="3312"/>
            <w:vAlign w:val="center"/>
          </w:tcPr>
          <w:p>
            <w:r>
              <w:rPr>
                <w:rFonts w:ascii="Calibri" w:hAnsi="Calibri"/>
                <w:sz w:val="20"/>
              </w:rPr>
              <w:t>Page view, click, or session event</w:t>
            </w:r>
          </w:p>
        </w:tc>
      </w:tr>
      <w:tr>
        <w:tc>
          <w:tcPr>
            <w:tcW w:type="dxa" w:w="3312"/>
            <w:vAlign w:val="center"/>
          </w:tcPr>
          <w:p>
            <w:r>
              <w:rPr>
                <w:rFonts w:ascii="Calibri" w:hAnsi="Calibri"/>
                <w:sz w:val="20"/>
              </w:rPr>
              <w:t>Finance Ledger</w:t>
            </w:r>
          </w:p>
        </w:tc>
        <w:tc>
          <w:tcPr>
            <w:tcW w:type="dxa" w:w="3312"/>
            <w:vAlign w:val="center"/>
          </w:tcPr>
          <w:p>
            <w:r>
              <w:rPr>
                <w:rFonts w:ascii="Calibri" w:hAnsi="Calibri"/>
                <w:sz w:val="20"/>
              </w:rPr>
              <w:t>One row per posting entry</w:t>
            </w:r>
          </w:p>
        </w:tc>
        <w:tc>
          <w:tcPr>
            <w:tcW w:type="dxa" w:w="3312"/>
            <w:vAlign w:val="center"/>
          </w:tcPr>
          <w:p>
            <w:r>
              <w:rPr>
                <w:rFonts w:ascii="Calibri" w:hAnsi="Calibri"/>
                <w:sz w:val="20"/>
              </w:rPr>
              <w:t>Debit or credit line posted to a ledger</w:t>
            </w:r>
          </w:p>
        </w:tc>
      </w:tr>
    </w:tbl>
    <w:p/>
    <w:p>
      <w:pPr>
        <w:ind w:left="360" w:right="360"/>
        <w:shd w:fill="F3F5F7"/>
      </w:pPr>
      <w:r>
        <w:rPr>
          <w:rFonts w:ascii="Courier New" w:hAnsi="Courier New"/>
          <w:sz w:val="18"/>
        </w:rPr>
        <w:t>```mermaid</w:t>
      </w:r>
    </w:p>
    <w:p>
      <w:pPr>
        <w:ind w:left="360" w:right="360"/>
        <w:shd w:fill="F3F5F7"/>
      </w:pPr>
      <w:r>
        <w:rPr>
          <w:rFonts w:ascii="Courier New" w:hAnsi="Courier New"/>
          <w:sz w:val="18"/>
        </w:rPr>
        <w:t>graph TD</w:t>
      </w:r>
    </w:p>
    <w:p>
      <w:pPr>
        <w:ind w:left="360" w:right="360"/>
        <w:shd w:fill="F3F5F7"/>
      </w:pPr>
      <w:r>
        <w:rPr>
          <w:rFonts w:ascii="Courier New" w:hAnsi="Courier New"/>
          <w:sz w:val="18"/>
        </w:rPr>
        <w:t xml:space="preserve">    F[Fact Sales</w:t>
      </w:r>
    </w:p>
    <w:p>
      <w:pPr>
        <w:ind w:left="360" w:right="360"/>
        <w:shd w:fill="F3F5F7"/>
      </w:pPr>
      <w:r>
        <w:rPr>
          <w:rFonts w:ascii="Courier New" w:hAnsi="Courier New"/>
          <w:sz w:val="18"/>
        </w:rPr>
        <w:t>order_line_key</w:t>
      </w:r>
    </w:p>
    <w:p>
      <w:pPr>
        <w:ind w:left="360" w:right="360"/>
        <w:shd w:fill="F3F5F7"/>
      </w:pPr>
      <w:r>
        <w:rPr>
          <w:rFonts w:ascii="Courier New" w:hAnsi="Courier New"/>
          <w:sz w:val="18"/>
        </w:rPr>
        <w:t>customer_key</w:t>
      </w:r>
    </w:p>
    <w:p>
      <w:pPr>
        <w:ind w:left="360" w:right="360"/>
        <w:shd w:fill="F3F5F7"/>
      </w:pPr>
      <w:r>
        <w:rPr>
          <w:rFonts w:ascii="Courier New" w:hAnsi="Courier New"/>
          <w:sz w:val="18"/>
        </w:rPr>
        <w:t>product_key</w:t>
      </w:r>
    </w:p>
    <w:p>
      <w:pPr>
        <w:ind w:left="360" w:right="360"/>
        <w:shd w:fill="F3F5F7"/>
      </w:pPr>
      <w:r>
        <w:rPr>
          <w:rFonts w:ascii="Courier New" w:hAnsi="Courier New"/>
          <w:sz w:val="18"/>
        </w:rPr>
        <w:t>date_key</w:t>
      </w:r>
    </w:p>
    <w:p>
      <w:pPr>
        <w:ind w:left="360" w:right="360"/>
        <w:shd w:fill="F3F5F7"/>
      </w:pPr>
      <w:r>
        <w:rPr>
          <w:rFonts w:ascii="Courier New" w:hAnsi="Courier New"/>
          <w:sz w:val="18"/>
        </w:rPr>
        <w:t>revenue</w:t>
      </w:r>
    </w:p>
    <w:p>
      <w:pPr>
        <w:ind w:left="360" w:right="360"/>
        <w:shd w:fill="F3F5F7"/>
      </w:pPr>
      <w:r>
        <w:rPr>
          <w:rFonts w:ascii="Courier New" w:hAnsi="Courier New"/>
          <w:sz w:val="18"/>
        </w:rPr>
        <w:t>quantity] --&gt; D1[Dim Customer</w:t>
      </w:r>
    </w:p>
    <w:p>
      <w:pPr>
        <w:ind w:left="360" w:right="360"/>
        <w:shd w:fill="F3F5F7"/>
      </w:pPr>
      <w:r>
        <w:rPr>
          <w:rFonts w:ascii="Courier New" w:hAnsi="Courier New"/>
          <w:sz w:val="18"/>
        </w:rPr>
        <w:t>customer_key</w:t>
      </w:r>
    </w:p>
    <w:p>
      <w:pPr>
        <w:ind w:left="360" w:right="360"/>
        <w:shd w:fill="F3F5F7"/>
      </w:pPr>
      <w:r>
        <w:rPr>
          <w:rFonts w:ascii="Courier New" w:hAnsi="Courier New"/>
          <w:sz w:val="18"/>
        </w:rPr>
        <w:t>segment</w:t>
      </w:r>
    </w:p>
    <w:p>
      <w:pPr>
        <w:ind w:left="360" w:right="360"/>
        <w:shd w:fill="F3F5F7"/>
      </w:pPr>
      <w:r>
        <w:rPr>
          <w:rFonts w:ascii="Courier New" w:hAnsi="Courier New"/>
          <w:sz w:val="18"/>
        </w:rPr>
        <w:t>country]</w:t>
      </w:r>
    </w:p>
    <w:p>
      <w:pPr>
        <w:ind w:left="360" w:right="360"/>
        <w:shd w:fill="F3F5F7"/>
      </w:pPr>
      <w:r>
        <w:rPr>
          <w:rFonts w:ascii="Courier New" w:hAnsi="Courier New"/>
          <w:sz w:val="18"/>
        </w:rPr>
        <w:t xml:space="preserve">    F --&gt; D2[Dim Product</w:t>
      </w:r>
    </w:p>
    <w:p>
      <w:pPr>
        <w:ind w:left="360" w:right="360"/>
        <w:shd w:fill="F3F5F7"/>
      </w:pPr>
      <w:r>
        <w:rPr>
          <w:rFonts w:ascii="Courier New" w:hAnsi="Courier New"/>
          <w:sz w:val="18"/>
        </w:rPr>
        <w:t>product_key</w:t>
      </w:r>
    </w:p>
    <w:p>
      <w:pPr>
        <w:ind w:left="360" w:right="360"/>
        <w:shd w:fill="F3F5F7"/>
      </w:pPr>
      <w:r>
        <w:rPr>
          <w:rFonts w:ascii="Courier New" w:hAnsi="Courier New"/>
          <w:sz w:val="18"/>
        </w:rPr>
        <w:t>category</w:t>
      </w:r>
    </w:p>
    <w:p>
      <w:pPr>
        <w:ind w:left="360" w:right="360"/>
        <w:shd w:fill="F3F5F7"/>
      </w:pPr>
      <w:r>
        <w:rPr>
          <w:rFonts w:ascii="Courier New" w:hAnsi="Courier New"/>
          <w:sz w:val="18"/>
        </w:rPr>
        <w:t>brand]</w:t>
      </w:r>
    </w:p>
    <w:p>
      <w:pPr>
        <w:ind w:left="360" w:right="360"/>
        <w:shd w:fill="F3F5F7"/>
      </w:pPr>
      <w:r>
        <w:rPr>
          <w:rFonts w:ascii="Courier New" w:hAnsi="Courier New"/>
          <w:sz w:val="18"/>
        </w:rPr>
        <w:t xml:space="preserve">    F --&gt; D3[Dim Date</w:t>
      </w:r>
    </w:p>
    <w:p>
      <w:pPr>
        <w:ind w:left="360" w:right="360"/>
        <w:shd w:fill="F3F5F7"/>
      </w:pPr>
      <w:r>
        <w:rPr>
          <w:rFonts w:ascii="Courier New" w:hAnsi="Courier New"/>
          <w:sz w:val="18"/>
        </w:rPr>
        <w:t>date_key</w:t>
      </w:r>
    </w:p>
    <w:p>
      <w:pPr>
        <w:ind w:left="360" w:right="360"/>
        <w:shd w:fill="F3F5F7"/>
      </w:pPr>
      <w:r>
        <w:rPr>
          <w:rFonts w:ascii="Courier New" w:hAnsi="Courier New"/>
          <w:sz w:val="18"/>
        </w:rPr>
        <w:t>month</w:t>
      </w:r>
    </w:p>
    <w:p>
      <w:pPr>
        <w:ind w:left="360" w:right="360"/>
        <w:shd w:fill="F3F5F7"/>
      </w:pPr>
      <w:r>
        <w:rPr>
          <w:rFonts w:ascii="Courier New" w:hAnsi="Courier New"/>
          <w:sz w:val="18"/>
        </w:rPr>
        <w:t>quarter</w:t>
      </w:r>
    </w:p>
    <w:p>
      <w:pPr>
        <w:ind w:left="360" w:right="360"/>
        <w:shd w:fill="F3F5F7"/>
      </w:pPr>
      <w:r>
        <w:rPr>
          <w:rFonts w:ascii="Courier New" w:hAnsi="Courier New"/>
          <w:sz w:val="18"/>
        </w:rPr>
        <w:t>year]</w:t>
      </w:r>
    </w:p>
    <w:p>
      <w:pPr>
        <w:ind w:left="360" w:right="360"/>
        <w:shd w:fill="F3F5F7"/>
      </w:pPr>
      <w:r>
        <w:rPr>
          <w:rFonts w:ascii="Courier New" w:hAnsi="Courier New"/>
          <w:sz w:val="18"/>
        </w:rPr>
        <w:t xml:space="preserve">    F --&gt; D4[Dim Channel</w:t>
      </w:r>
    </w:p>
    <w:p>
      <w:pPr>
        <w:ind w:left="360" w:right="360"/>
        <w:shd w:fill="F3F5F7"/>
      </w:pPr>
      <w:r>
        <w:rPr>
          <w:rFonts w:ascii="Courier New" w:hAnsi="Courier New"/>
          <w:sz w:val="18"/>
        </w:rPr>
        <w:t>channel_key</w:t>
      </w:r>
    </w:p>
    <w:p>
      <w:pPr>
        <w:ind w:left="360" w:right="360"/>
        <w:shd w:fill="F3F5F7"/>
      </w:pPr>
      <w:r>
        <w:rPr>
          <w:rFonts w:ascii="Courier New" w:hAnsi="Courier New"/>
          <w:sz w:val="18"/>
        </w:rPr>
        <w:t>channel_name]</w:t>
      </w:r>
    </w:p>
    <w:p>
      <w:pPr>
        <w:ind w:left="360" w:right="360"/>
        <w:shd w:fill="F3F5F7"/>
      </w:pPr>
      <w:r>
        <w:rPr>
          <w:rFonts w:ascii="Courier New" w:hAnsi="Courier New"/>
          <w:sz w:val="18"/>
        </w:rPr>
        <w:t>```</w:t>
      </w:r>
    </w:p>
    <w:p>
      <w:pPr>
        <w:pStyle w:val="Heading1"/>
      </w:pPr>
      <w:r>
        <w:t>5. Star Schema and Snowflake Schema</w:t>
      </w:r>
    </w:p>
    <w:p>
      <w:r>
        <w:t>Star and snowflake schemas are two common ways of implementing dimensional models. A star schema uses denormalized dimensions directly connected to the fact table. A snowflake schema normalizes one or more dimensions into related substructures.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Calibri" w:hAnsi="Calibri"/>
                <w:b/>
                <w:sz w:val="20"/>
              </w:rPr>
              <w:t>Aspect</w:t>
            </w:r>
          </w:p>
        </w:tc>
        <w:tc>
          <w:tcPr>
            <w:tcW w:type="dxa" w:w="3312"/>
            <w:vAlign w:val="center"/>
            <w:shd w:fill="D9E2F3"/>
          </w:tcPr>
          <w:p>
            <w:r>
              <w:rPr>
                <w:rFonts w:ascii="Calibri" w:hAnsi="Calibri"/>
                <w:b/>
                <w:sz w:val="20"/>
              </w:rPr>
              <w:t>Star Schema</w:t>
            </w:r>
          </w:p>
        </w:tc>
        <w:tc>
          <w:tcPr>
            <w:tcW w:type="dxa" w:w="3312"/>
            <w:vAlign w:val="center"/>
            <w:shd w:fill="D9E2F3"/>
          </w:tcPr>
          <w:p>
            <w:r>
              <w:rPr>
                <w:rFonts w:ascii="Calibri" w:hAnsi="Calibri"/>
                <w:b/>
                <w:sz w:val="20"/>
              </w:rPr>
              <w:t>Snowflake Schema</w:t>
            </w:r>
          </w:p>
        </w:tc>
      </w:tr>
      <w:tr>
        <w:tc>
          <w:tcPr>
            <w:tcW w:type="dxa" w:w="3312"/>
            <w:vAlign w:val="center"/>
          </w:tcPr>
          <w:p>
            <w:r>
              <w:rPr>
                <w:rFonts w:ascii="Calibri" w:hAnsi="Calibri"/>
                <w:sz w:val="20"/>
              </w:rPr>
              <w:t>Dimension Design</w:t>
            </w:r>
          </w:p>
        </w:tc>
        <w:tc>
          <w:tcPr>
            <w:tcW w:type="dxa" w:w="3312"/>
            <w:vAlign w:val="center"/>
          </w:tcPr>
          <w:p>
            <w:r>
              <w:rPr>
                <w:rFonts w:ascii="Calibri" w:hAnsi="Calibri"/>
                <w:sz w:val="20"/>
              </w:rPr>
              <w:t>Denormalized</w:t>
            </w:r>
          </w:p>
        </w:tc>
        <w:tc>
          <w:tcPr>
            <w:tcW w:type="dxa" w:w="3312"/>
            <w:vAlign w:val="center"/>
          </w:tcPr>
          <w:p>
            <w:r>
              <w:rPr>
                <w:rFonts w:ascii="Calibri" w:hAnsi="Calibri"/>
                <w:sz w:val="20"/>
              </w:rPr>
              <w:t>Normalized into sub-dimensions</w:t>
            </w:r>
          </w:p>
        </w:tc>
      </w:tr>
      <w:tr>
        <w:tc>
          <w:tcPr>
            <w:tcW w:type="dxa" w:w="3312"/>
            <w:vAlign w:val="center"/>
          </w:tcPr>
          <w:p>
            <w:r>
              <w:rPr>
                <w:rFonts w:ascii="Calibri" w:hAnsi="Calibri"/>
                <w:sz w:val="20"/>
              </w:rPr>
              <w:t>Query Simplicity</w:t>
            </w:r>
          </w:p>
        </w:tc>
        <w:tc>
          <w:tcPr>
            <w:tcW w:type="dxa" w:w="3312"/>
            <w:vAlign w:val="center"/>
          </w:tcPr>
          <w:p>
            <w:r>
              <w:rPr>
                <w:rFonts w:ascii="Calibri" w:hAnsi="Calibri"/>
                <w:sz w:val="20"/>
              </w:rPr>
              <w:t>Higher</w:t>
            </w:r>
          </w:p>
        </w:tc>
        <w:tc>
          <w:tcPr>
            <w:tcW w:type="dxa" w:w="3312"/>
            <w:vAlign w:val="center"/>
          </w:tcPr>
          <w:p>
            <w:r>
              <w:rPr>
                <w:rFonts w:ascii="Calibri" w:hAnsi="Calibri"/>
                <w:sz w:val="20"/>
              </w:rPr>
              <w:t>Lower because of more joins</w:t>
            </w:r>
          </w:p>
        </w:tc>
      </w:tr>
      <w:tr>
        <w:tc>
          <w:tcPr>
            <w:tcW w:type="dxa" w:w="3312"/>
            <w:vAlign w:val="center"/>
          </w:tcPr>
          <w:p>
            <w:r>
              <w:rPr>
                <w:rFonts w:ascii="Calibri" w:hAnsi="Calibri"/>
                <w:sz w:val="20"/>
              </w:rPr>
              <w:t>Storage Efficiency</w:t>
            </w:r>
          </w:p>
        </w:tc>
        <w:tc>
          <w:tcPr>
            <w:tcW w:type="dxa" w:w="3312"/>
            <w:vAlign w:val="center"/>
          </w:tcPr>
          <w:p>
            <w:r>
              <w:rPr>
                <w:rFonts w:ascii="Calibri" w:hAnsi="Calibri"/>
                <w:sz w:val="20"/>
              </w:rPr>
              <w:t>Lower</w:t>
            </w:r>
          </w:p>
        </w:tc>
        <w:tc>
          <w:tcPr>
            <w:tcW w:type="dxa" w:w="3312"/>
            <w:vAlign w:val="center"/>
          </w:tcPr>
          <w:p>
            <w:r>
              <w:rPr>
                <w:rFonts w:ascii="Calibri" w:hAnsi="Calibri"/>
                <w:sz w:val="20"/>
              </w:rPr>
              <w:t>Higher</w:t>
            </w:r>
          </w:p>
        </w:tc>
      </w:tr>
      <w:tr>
        <w:tc>
          <w:tcPr>
            <w:tcW w:type="dxa" w:w="3312"/>
            <w:vAlign w:val="center"/>
          </w:tcPr>
          <w:p>
            <w:r>
              <w:rPr>
                <w:rFonts w:ascii="Calibri" w:hAnsi="Calibri"/>
                <w:sz w:val="20"/>
              </w:rPr>
              <w:t>User Friendliness</w:t>
            </w:r>
          </w:p>
        </w:tc>
        <w:tc>
          <w:tcPr>
            <w:tcW w:type="dxa" w:w="3312"/>
            <w:vAlign w:val="center"/>
          </w:tcPr>
          <w:p>
            <w:r>
              <w:rPr>
                <w:rFonts w:ascii="Calibri" w:hAnsi="Calibri"/>
                <w:sz w:val="20"/>
              </w:rPr>
              <w:t>Very strong for BI and reporting</w:t>
            </w:r>
          </w:p>
        </w:tc>
        <w:tc>
          <w:tcPr>
            <w:tcW w:type="dxa" w:w="3312"/>
            <w:vAlign w:val="center"/>
          </w:tcPr>
          <w:p>
            <w:r>
              <w:rPr>
                <w:rFonts w:ascii="Calibri" w:hAnsi="Calibri"/>
                <w:sz w:val="20"/>
              </w:rPr>
              <w:t>More complex for self-service users</w:t>
            </w:r>
          </w:p>
        </w:tc>
      </w:tr>
      <w:tr>
        <w:tc>
          <w:tcPr>
            <w:tcW w:type="dxa" w:w="3312"/>
            <w:vAlign w:val="center"/>
          </w:tcPr>
          <w:p>
            <w:r>
              <w:rPr>
                <w:rFonts w:ascii="Calibri" w:hAnsi="Calibri"/>
                <w:sz w:val="20"/>
              </w:rPr>
              <w:t>Use Case</w:t>
            </w:r>
          </w:p>
        </w:tc>
        <w:tc>
          <w:tcPr>
            <w:tcW w:type="dxa" w:w="3312"/>
            <w:vAlign w:val="center"/>
          </w:tcPr>
          <w:p>
            <w:r>
              <w:rPr>
                <w:rFonts w:ascii="Calibri" w:hAnsi="Calibri"/>
                <w:sz w:val="20"/>
              </w:rPr>
              <w:t>Common for marts and reporting</w:t>
            </w:r>
          </w:p>
        </w:tc>
        <w:tc>
          <w:tcPr>
            <w:tcW w:type="dxa" w:w="3312"/>
            <w:vAlign w:val="center"/>
          </w:tcPr>
          <w:p>
            <w:r>
              <w:rPr>
                <w:rFonts w:ascii="Calibri" w:hAnsi="Calibri"/>
                <w:sz w:val="20"/>
              </w:rPr>
              <w:t>Useful when hierarchies or reuse justify normalization</w:t>
            </w:r>
          </w:p>
        </w:tc>
      </w:tr>
    </w:tbl>
    <w:p/>
    <w:p>
      <w:pPr>
        <w:ind w:left="360" w:right="360"/>
        <w:shd w:fill="F3F5F7"/>
      </w:pPr>
      <w:r>
        <w:rPr>
          <w:rFonts w:ascii="Courier New" w:hAnsi="Courier New"/>
          <w:sz w:val="18"/>
        </w:rPr>
        <w:t>```mermaid</w:t>
      </w:r>
    </w:p>
    <w:p>
      <w:pPr>
        <w:ind w:left="360" w:right="360"/>
        <w:shd w:fill="F3F5F7"/>
      </w:pPr>
      <w:r>
        <w:rPr>
          <w:rFonts w:ascii="Courier New" w:hAnsi="Courier New"/>
          <w:sz w:val="18"/>
        </w:rPr>
        <w:t>flowchart LR</w:t>
      </w:r>
    </w:p>
    <w:p>
      <w:pPr>
        <w:ind w:left="360" w:right="360"/>
        <w:shd w:fill="F3F5F7"/>
      </w:pPr>
      <w:r>
        <w:rPr>
          <w:rFonts w:ascii="Courier New" w:hAnsi="Courier New"/>
          <w:sz w:val="18"/>
        </w:rPr>
        <w:t xml:space="preserve">    subgraph Star Schema</w:t>
      </w:r>
    </w:p>
    <w:p>
      <w:pPr>
        <w:ind w:left="360" w:right="360"/>
        <w:shd w:fill="F3F5F7"/>
      </w:pPr>
      <w:r>
        <w:rPr>
          <w:rFonts w:ascii="Courier New" w:hAnsi="Courier New"/>
          <w:sz w:val="18"/>
        </w:rPr>
        <w:t xml:space="preserve">        FS[Fact Sales] --&gt; DC[Dim Customer]</w:t>
      </w:r>
    </w:p>
    <w:p>
      <w:pPr>
        <w:ind w:left="360" w:right="360"/>
        <w:shd w:fill="F3F5F7"/>
      </w:pPr>
      <w:r>
        <w:rPr>
          <w:rFonts w:ascii="Courier New" w:hAnsi="Courier New"/>
          <w:sz w:val="18"/>
        </w:rPr>
        <w:t xml:space="preserve">        FS --&gt; DP[Dim Product]</w:t>
      </w:r>
    </w:p>
    <w:p>
      <w:pPr>
        <w:ind w:left="360" w:right="360"/>
        <w:shd w:fill="F3F5F7"/>
      </w:pPr>
      <w:r>
        <w:rPr>
          <w:rFonts w:ascii="Courier New" w:hAnsi="Courier New"/>
          <w:sz w:val="18"/>
        </w:rPr>
        <w:t xml:space="preserve">        FS --&gt; DD[Dim Date]</w:t>
      </w:r>
    </w:p>
    <w:p>
      <w:pPr>
        <w:ind w:left="360" w:right="360"/>
        <w:shd w:fill="F3F5F7"/>
      </w:pPr>
      <w:r>
        <w:rPr>
          <w:rFonts w:ascii="Courier New" w:hAnsi="Courier New"/>
          <w:sz w:val="18"/>
        </w:rPr>
        <w:t xml:space="preserve">        FS --&gt; DS[Dim Store]</w:t>
      </w:r>
    </w:p>
    <w:p>
      <w:pPr>
        <w:ind w:left="360" w:right="360"/>
        <w:shd w:fill="F3F5F7"/>
      </w:pPr>
      <w:r>
        <w:rPr>
          <w:rFonts w:ascii="Courier New" w:hAnsi="Courier New"/>
          <w:sz w:val="18"/>
        </w:rPr>
        <w:t xml:space="preserve">    end</w:t>
      </w:r>
    </w:p>
    <w:p>
      <w:pPr>
        <w:ind w:left="360" w:right="360"/>
        <w:shd w:fill="F3F5F7"/>
      </w:pPr>
      <w:r>
        <w:rPr>
          <w:rFonts w:ascii="Courier New" w:hAnsi="Courier New"/>
          <w:sz w:val="18"/>
        </w:rPr>
        <w:t xml:space="preserve">    subgraph Snowflake Schema</w:t>
      </w:r>
    </w:p>
    <w:p>
      <w:pPr>
        <w:ind w:left="360" w:right="360"/>
        <w:shd w:fill="F3F5F7"/>
      </w:pPr>
      <w:r>
        <w:rPr>
          <w:rFonts w:ascii="Courier New" w:hAnsi="Courier New"/>
          <w:sz w:val="18"/>
        </w:rPr>
        <w:t xml:space="preserve">        FX[Fact Sales] --&gt; C1[Dim Customer]</w:t>
      </w:r>
    </w:p>
    <w:p>
      <w:pPr>
        <w:ind w:left="360" w:right="360"/>
        <w:shd w:fill="F3F5F7"/>
      </w:pPr>
      <w:r>
        <w:rPr>
          <w:rFonts w:ascii="Courier New" w:hAnsi="Courier New"/>
          <w:sz w:val="18"/>
        </w:rPr>
        <w:t xml:space="preserve">        C1 --&gt; C2[Dim Customer Segment]</w:t>
      </w:r>
    </w:p>
    <w:p>
      <w:pPr>
        <w:ind w:left="360" w:right="360"/>
        <w:shd w:fill="F3F5F7"/>
      </w:pPr>
      <w:r>
        <w:rPr>
          <w:rFonts w:ascii="Courier New" w:hAnsi="Courier New"/>
          <w:sz w:val="18"/>
        </w:rPr>
        <w:t xml:space="preserve">        FX --&gt; P1[Dim Product]</w:t>
      </w:r>
    </w:p>
    <w:p>
      <w:pPr>
        <w:ind w:left="360" w:right="360"/>
        <w:shd w:fill="F3F5F7"/>
      </w:pPr>
      <w:r>
        <w:rPr>
          <w:rFonts w:ascii="Courier New" w:hAnsi="Courier New"/>
          <w:sz w:val="18"/>
        </w:rPr>
        <w:t xml:space="preserve">        P1 --&gt; P2[Dim Product Category]</w:t>
      </w:r>
    </w:p>
    <w:p>
      <w:pPr>
        <w:ind w:left="360" w:right="360"/>
        <w:shd w:fill="F3F5F7"/>
      </w:pPr>
      <w:r>
        <w:rPr>
          <w:rFonts w:ascii="Courier New" w:hAnsi="Courier New"/>
          <w:sz w:val="18"/>
        </w:rPr>
        <w:t xml:space="preserve">        FX --&gt; D1[Dim Date]</w:t>
      </w:r>
    </w:p>
    <w:p>
      <w:pPr>
        <w:ind w:left="360" w:right="360"/>
        <w:shd w:fill="F3F5F7"/>
      </w:pPr>
      <w:r>
        <w:rPr>
          <w:rFonts w:ascii="Courier New" w:hAnsi="Courier New"/>
          <w:sz w:val="18"/>
        </w:rPr>
        <w:t xml:space="preserve">        FX --&gt; S1[Dim Store]</w:t>
      </w:r>
    </w:p>
    <w:p>
      <w:pPr>
        <w:ind w:left="360" w:right="360"/>
        <w:shd w:fill="F3F5F7"/>
      </w:pPr>
      <w:r>
        <w:rPr>
          <w:rFonts w:ascii="Courier New" w:hAnsi="Courier New"/>
          <w:sz w:val="18"/>
        </w:rPr>
        <w:t xml:space="preserve">        S1 --&gt; S2[Dim Region]</w:t>
      </w:r>
    </w:p>
    <w:p>
      <w:pPr>
        <w:ind w:left="360" w:right="360"/>
        <w:shd w:fill="F3F5F7"/>
      </w:pPr>
      <w:r>
        <w:rPr>
          <w:rFonts w:ascii="Courier New" w:hAnsi="Courier New"/>
          <w:sz w:val="18"/>
        </w:rPr>
        <w:t xml:space="preserve">    end</w:t>
      </w:r>
    </w:p>
    <w:p>
      <w:pPr>
        <w:ind w:left="360" w:right="360"/>
        <w:shd w:fill="F3F5F7"/>
      </w:pPr>
      <w:r>
        <w:rPr>
          <w:rFonts w:ascii="Courier New" w:hAnsi="Courier New"/>
          <w:sz w:val="18"/>
        </w:rPr>
        <w:t>```</w:t>
      </w:r>
    </w:p>
    <w:p>
      <w:pPr>
        <w:pStyle w:val="Heading1"/>
      </w:pPr>
      <w:r>
        <w:t>6. Slowly Changing Dimensions (SCDs)</w:t>
      </w:r>
    </w:p>
    <w:p>
      <w:r>
        <w:t>Slowly Changing Dimensions describe strategies for handling dimension attribute changes over time. The right SCD choice depends on whether the business needs only the current value, full history, or a limited history.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Calibri" w:hAnsi="Calibri"/>
                <w:b/>
                <w:sz w:val="20"/>
              </w:rPr>
              <w:t>Type</w:t>
            </w:r>
          </w:p>
        </w:tc>
        <w:tc>
          <w:tcPr>
            <w:tcW w:type="dxa" w:w="3312"/>
            <w:vAlign w:val="center"/>
            <w:shd w:fill="D9E2F3"/>
          </w:tcPr>
          <w:p>
            <w:r>
              <w:rPr>
                <w:rFonts w:ascii="Calibri" w:hAnsi="Calibri"/>
                <w:b/>
                <w:sz w:val="20"/>
              </w:rPr>
              <w:t>Behavior</w:t>
            </w:r>
          </w:p>
        </w:tc>
        <w:tc>
          <w:tcPr>
            <w:tcW w:type="dxa" w:w="3312"/>
            <w:vAlign w:val="center"/>
            <w:shd w:fill="D9E2F3"/>
          </w:tcPr>
          <w:p>
            <w:r>
              <w:rPr>
                <w:rFonts w:ascii="Calibri" w:hAnsi="Calibri"/>
                <w:b/>
                <w:sz w:val="20"/>
              </w:rPr>
              <w:t>Typical Use</w:t>
            </w:r>
          </w:p>
        </w:tc>
      </w:tr>
      <w:tr>
        <w:tc>
          <w:tcPr>
            <w:tcW w:type="dxa" w:w="3312"/>
            <w:vAlign w:val="center"/>
          </w:tcPr>
          <w:p>
            <w:r>
              <w:rPr>
                <w:rFonts w:ascii="Calibri" w:hAnsi="Calibri"/>
                <w:sz w:val="20"/>
              </w:rPr>
              <w:t>Type 1</w:t>
            </w:r>
          </w:p>
        </w:tc>
        <w:tc>
          <w:tcPr>
            <w:tcW w:type="dxa" w:w="3312"/>
            <w:vAlign w:val="center"/>
          </w:tcPr>
          <w:p>
            <w:r>
              <w:rPr>
                <w:rFonts w:ascii="Calibri" w:hAnsi="Calibri"/>
                <w:sz w:val="20"/>
              </w:rPr>
              <w:t>Overwrite old value; no history kept</w:t>
            </w:r>
          </w:p>
        </w:tc>
        <w:tc>
          <w:tcPr>
            <w:tcW w:type="dxa" w:w="3312"/>
            <w:vAlign w:val="center"/>
          </w:tcPr>
          <w:p>
            <w:r>
              <w:rPr>
                <w:rFonts w:ascii="Calibri" w:hAnsi="Calibri"/>
                <w:sz w:val="20"/>
              </w:rPr>
              <w:t>Correcting a typo or replacing a non-historical attribute</w:t>
            </w:r>
          </w:p>
        </w:tc>
      </w:tr>
      <w:tr>
        <w:tc>
          <w:tcPr>
            <w:tcW w:type="dxa" w:w="3312"/>
            <w:vAlign w:val="center"/>
          </w:tcPr>
          <w:p>
            <w:r>
              <w:rPr>
                <w:rFonts w:ascii="Calibri" w:hAnsi="Calibri"/>
                <w:sz w:val="20"/>
              </w:rPr>
              <w:t>Type 2</w:t>
            </w:r>
          </w:p>
        </w:tc>
        <w:tc>
          <w:tcPr>
            <w:tcW w:type="dxa" w:w="3312"/>
            <w:vAlign w:val="center"/>
          </w:tcPr>
          <w:p>
            <w:r>
              <w:rPr>
                <w:rFonts w:ascii="Calibri" w:hAnsi="Calibri"/>
                <w:sz w:val="20"/>
              </w:rPr>
              <w:t>Insert a new version row; preserve history</w:t>
            </w:r>
          </w:p>
        </w:tc>
        <w:tc>
          <w:tcPr>
            <w:tcW w:type="dxa" w:w="3312"/>
            <w:vAlign w:val="center"/>
          </w:tcPr>
          <w:p>
            <w:r>
              <w:rPr>
                <w:rFonts w:ascii="Calibri" w:hAnsi="Calibri"/>
                <w:sz w:val="20"/>
              </w:rPr>
              <w:t>Historical reporting must reflect older values</w:t>
            </w:r>
          </w:p>
        </w:tc>
      </w:tr>
      <w:tr>
        <w:tc>
          <w:tcPr>
            <w:tcW w:type="dxa" w:w="3312"/>
            <w:vAlign w:val="center"/>
          </w:tcPr>
          <w:p>
            <w:r>
              <w:rPr>
                <w:rFonts w:ascii="Calibri" w:hAnsi="Calibri"/>
                <w:sz w:val="20"/>
              </w:rPr>
              <w:t>Type 3</w:t>
            </w:r>
          </w:p>
        </w:tc>
        <w:tc>
          <w:tcPr>
            <w:tcW w:type="dxa" w:w="3312"/>
            <w:vAlign w:val="center"/>
          </w:tcPr>
          <w:p>
            <w:r>
              <w:rPr>
                <w:rFonts w:ascii="Calibri" w:hAnsi="Calibri"/>
                <w:sz w:val="20"/>
              </w:rPr>
              <w:t>Store a limited previous value in additional columns</w:t>
            </w:r>
          </w:p>
        </w:tc>
        <w:tc>
          <w:tcPr>
            <w:tcW w:type="dxa" w:w="3312"/>
            <w:vAlign w:val="center"/>
          </w:tcPr>
          <w:p>
            <w:r>
              <w:rPr>
                <w:rFonts w:ascii="Calibri" w:hAnsi="Calibri"/>
                <w:sz w:val="20"/>
              </w:rPr>
              <w:t>Track current and previous region or status</w:t>
            </w:r>
          </w:p>
        </w:tc>
      </w:tr>
      <w:tr>
        <w:tc>
          <w:tcPr>
            <w:tcW w:type="dxa" w:w="3312"/>
            <w:vAlign w:val="center"/>
          </w:tcPr>
          <w:p>
            <w:r>
              <w:rPr>
                <w:rFonts w:ascii="Calibri" w:hAnsi="Calibri"/>
                <w:sz w:val="20"/>
              </w:rPr>
              <w:t>Hybrid Types</w:t>
            </w:r>
          </w:p>
        </w:tc>
        <w:tc>
          <w:tcPr>
            <w:tcW w:type="dxa" w:w="3312"/>
            <w:vAlign w:val="center"/>
          </w:tcPr>
          <w:p>
            <w:r>
              <w:rPr>
                <w:rFonts w:ascii="Calibri" w:hAnsi="Calibri"/>
                <w:sz w:val="20"/>
              </w:rPr>
              <w:t>Custom combinations for advanced needs</w:t>
            </w:r>
          </w:p>
        </w:tc>
        <w:tc>
          <w:tcPr>
            <w:tcW w:type="dxa" w:w="3312"/>
            <w:vAlign w:val="center"/>
          </w:tcPr>
          <w:p>
            <w:r>
              <w:rPr>
                <w:rFonts w:ascii="Calibri" w:hAnsi="Calibri"/>
                <w:sz w:val="20"/>
              </w:rPr>
              <w:t>Special audit or compliance requirements</w:t>
            </w:r>
          </w:p>
        </w:tc>
      </w:tr>
    </w:tbl>
    <w:p/>
    <w:p>
      <w:pPr>
        <w:pStyle w:val="Heading2"/>
      </w:pPr>
      <w:r>
        <w:t>SCD Type 2 Pattern</w:t>
      </w:r>
    </w:p>
    <w:p>
      <w:pPr>
        <w:pStyle w:val="ListBullet"/>
      </w:pPr>
      <w:r>
        <w:t>Uses a surrogate key separate from the business key.</w:t>
      </w:r>
    </w:p>
    <w:p>
      <w:pPr>
        <w:pStyle w:val="ListBullet"/>
      </w:pPr>
      <w:r>
        <w:t>Stores effective_start_date and effective_end_date.</w:t>
      </w:r>
    </w:p>
    <w:p>
      <w:pPr>
        <w:pStyle w:val="ListBullet"/>
      </w:pPr>
      <w:r>
        <w:t>Marks current rows, often with a current_flag.</w:t>
      </w:r>
    </w:p>
    <w:p>
      <w:pPr>
        <w:pStyle w:val="ListBullet"/>
      </w:pPr>
      <w:r>
        <w:t>Preserves complete historical changes for dimensional context.</w:t>
      </w:r>
    </w:p>
    <w:p>
      <w:pPr>
        <w:ind w:left="360" w:right="360"/>
        <w:shd w:fill="F3F5F7"/>
      </w:pPr>
      <w:r>
        <w:rPr>
          <w:rFonts w:ascii="Courier New" w:hAnsi="Courier New"/>
          <w:sz w:val="18"/>
        </w:rPr>
        <w:t>```sql</w:t>
      </w:r>
    </w:p>
    <w:p>
      <w:pPr>
        <w:ind w:left="360" w:right="360"/>
        <w:shd w:fill="F3F5F7"/>
      </w:pPr>
      <w:r>
        <w:rPr>
          <w:rFonts w:ascii="Courier New" w:hAnsi="Courier New"/>
          <w:sz w:val="18"/>
        </w:rPr>
        <w:t>MERGE INTO dw.dim_customer AS tgt</w:t>
      </w:r>
    </w:p>
    <w:p>
      <w:pPr>
        <w:ind w:left="360" w:right="360"/>
        <w:shd w:fill="F3F5F7"/>
      </w:pPr>
      <w:r>
        <w:rPr>
          <w:rFonts w:ascii="Courier New" w:hAnsi="Courier New"/>
          <w:sz w:val="18"/>
        </w:rPr>
        <w:t>USING stage_customer_delta AS src</w:t>
      </w:r>
    </w:p>
    <w:p>
      <w:pPr>
        <w:ind w:left="360" w:right="360"/>
        <w:shd w:fill="F3F5F7"/>
      </w:pPr>
      <w:r>
        <w:rPr>
          <w:rFonts w:ascii="Courier New" w:hAnsi="Courier New"/>
          <w:sz w:val="18"/>
        </w:rPr>
        <w:t>ON tgt.customer_id = src.customer_id</w:t>
      </w:r>
    </w:p>
    <w:p>
      <w:pPr>
        <w:ind w:left="360" w:right="360"/>
        <w:shd w:fill="F3F5F7"/>
      </w:pPr>
      <w:r>
        <w:rPr>
          <w:rFonts w:ascii="Courier New" w:hAnsi="Courier New"/>
          <w:sz w:val="18"/>
        </w:rPr>
        <w:t>AND tgt.current_flag = 'Y'</w:t>
      </w:r>
    </w:p>
    <w:p>
      <w:pPr>
        <w:ind w:left="360" w:right="360"/>
        <w:shd w:fill="F3F5F7"/>
      </w:pPr>
      <w:r>
        <w:rPr>
          <w:rFonts w:ascii="Courier New" w:hAnsi="Courier New"/>
          <w:sz w:val="18"/>
        </w:rPr>
        <w:t>WHEN MATCHED AND (</w:t>
      </w:r>
    </w:p>
    <w:p>
      <w:pPr>
        <w:ind w:left="360" w:right="360"/>
        <w:shd w:fill="F3F5F7"/>
      </w:pPr>
      <w:r>
        <w:rPr>
          <w:rFonts w:ascii="Courier New" w:hAnsi="Courier New"/>
          <w:sz w:val="18"/>
        </w:rPr>
        <w:t xml:space="preserve">    COALESCE(tgt.customer_city,'') &lt;&gt; COALESCE(src.customer_city,'')</w:t>
      </w:r>
    </w:p>
    <w:p>
      <w:pPr>
        <w:ind w:left="360" w:right="360"/>
        <w:shd w:fill="F3F5F7"/>
      </w:pPr>
      <w:r>
        <w:rPr>
          <w:rFonts w:ascii="Courier New" w:hAnsi="Courier New"/>
          <w:sz w:val="18"/>
        </w:rPr>
        <w:t xml:space="preserve">    OR COALESCE(tgt.customer_name,'') &lt;&gt; COALESCE(src.customer_name,'')</w:t>
      </w:r>
    </w:p>
    <w:p>
      <w:pPr>
        <w:ind w:left="360" w:right="360"/>
        <w:shd w:fill="F3F5F7"/>
      </w:pPr>
      <w:r>
        <w:rPr>
          <w:rFonts w:ascii="Courier New" w:hAnsi="Courier New"/>
          <w:sz w:val="18"/>
        </w:rPr>
        <w:t>) THEN UPDATE SET</w:t>
      </w:r>
    </w:p>
    <w:p>
      <w:pPr>
        <w:ind w:left="360" w:right="360"/>
        <w:shd w:fill="F3F5F7"/>
      </w:pPr>
      <w:r>
        <w:rPr>
          <w:rFonts w:ascii="Courier New" w:hAnsi="Courier New"/>
          <w:sz w:val="18"/>
        </w:rPr>
        <w:t xml:space="preserve">    tgt.effective_end_date = CURRENT_DATE - 1,</w:t>
      </w:r>
    </w:p>
    <w:p>
      <w:pPr>
        <w:ind w:left="360" w:right="360"/>
        <w:shd w:fill="F3F5F7"/>
      </w:pPr>
      <w:r>
        <w:rPr>
          <w:rFonts w:ascii="Courier New" w:hAnsi="Courier New"/>
          <w:sz w:val="18"/>
        </w:rPr>
        <w:t xml:space="preserve">    tgt.current_flag = 'N'</w:t>
      </w:r>
    </w:p>
    <w:p>
      <w:pPr>
        <w:ind w:left="360" w:right="360"/>
        <w:shd w:fill="F3F5F7"/>
      </w:pPr>
      <w:r>
        <w:rPr>
          <w:rFonts w:ascii="Courier New" w:hAnsi="Courier New"/>
          <w:sz w:val="18"/>
        </w:rPr>
        <w:t>WHEN NOT MATCHED THEN INSERT (</w:t>
      </w:r>
    </w:p>
    <w:p>
      <w:pPr>
        <w:ind w:left="360" w:right="360"/>
        <w:shd w:fill="F3F5F7"/>
      </w:pPr>
      <w:r>
        <w:rPr>
          <w:rFonts w:ascii="Courier New" w:hAnsi="Courier New"/>
          <w:sz w:val="18"/>
        </w:rPr>
        <w:t xml:space="preserve">    customer_sk, customer_id, customer_name, customer_city,</w:t>
      </w:r>
    </w:p>
    <w:p>
      <w:pPr>
        <w:ind w:left="360" w:right="360"/>
        <w:shd w:fill="F3F5F7"/>
      </w:pPr>
      <w:r>
        <w:rPr>
          <w:rFonts w:ascii="Courier New" w:hAnsi="Courier New"/>
          <w:sz w:val="18"/>
        </w:rPr>
        <w:t xml:space="preserve">    effective_start_date, effective_end_date, current_flag</w:t>
      </w:r>
    </w:p>
    <w:p>
      <w:pPr>
        <w:ind w:left="360" w:right="360"/>
        <w:shd w:fill="F3F5F7"/>
      </w:pPr>
      <w:r>
        <w:rPr>
          <w:rFonts w:ascii="Courier New" w:hAnsi="Courier New"/>
          <w:sz w:val="18"/>
        </w:rPr>
        <w:t>) VALUES (</w:t>
      </w:r>
    </w:p>
    <w:p>
      <w:pPr>
        <w:ind w:left="360" w:right="360"/>
        <w:shd w:fill="F3F5F7"/>
      </w:pPr>
      <w:r>
        <w:rPr>
          <w:rFonts w:ascii="Courier New" w:hAnsi="Courier New"/>
          <w:sz w:val="18"/>
        </w:rPr>
        <w:t xml:space="preserve">    NEXTVAL('customer_sk_seq'), src.customer_id, src.customer_name, src.customer_city,</w:t>
      </w:r>
    </w:p>
    <w:p>
      <w:pPr>
        <w:ind w:left="360" w:right="360"/>
        <w:shd w:fill="F3F5F7"/>
      </w:pPr>
      <w:r>
        <w:rPr>
          <w:rFonts w:ascii="Courier New" w:hAnsi="Courier New"/>
          <w:sz w:val="18"/>
        </w:rPr>
        <w:t xml:space="preserve">    CURRENT_DATE, DATE '9999-12-31', 'Y'</w:t>
      </w:r>
    </w:p>
    <w:p>
      <w:pPr>
        <w:ind w:left="360" w:right="360"/>
        <w:shd w:fill="F3F5F7"/>
      </w:pPr>
      <w:r>
        <w:rPr>
          <w:rFonts w:ascii="Courier New" w:hAnsi="Courier New"/>
          <w:sz w:val="18"/>
        </w:rPr>
        <w:t>);</w:t>
      </w:r>
    </w:p>
    <w:p>
      <w:pPr>
        <w:ind w:left="360" w:right="360"/>
        <w:shd w:fill="F3F5F7"/>
      </w:pPr>
      <w:r>
        <w:rPr>
          <w:rFonts w:ascii="Courier New" w:hAnsi="Courier New"/>
          <w:sz w:val="18"/>
        </w:rPr>
        <w:t>```</w:t>
      </w:r>
    </w:p>
    <w:p>
      <w:pPr>
        <w:pStyle w:val="Heading1"/>
      </w:pPr>
      <w:r>
        <w:t>7. ETL and ELT in Practice</w:t>
      </w:r>
    </w:p>
    <w:p>
      <w:r>
        <w:t>ETL and ELT are two related but distinct approaches to movement and transformation. The key difference is where transformations happen and when raw data is preserved.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Calibri" w:hAnsi="Calibri"/>
                <w:b/>
                <w:sz w:val="20"/>
              </w:rPr>
              <w:t>Concept</w:t>
            </w:r>
          </w:p>
        </w:tc>
        <w:tc>
          <w:tcPr>
            <w:tcW w:type="dxa" w:w="3312"/>
            <w:vAlign w:val="center"/>
            <w:shd w:fill="D9E2F3"/>
          </w:tcPr>
          <w:p>
            <w:r>
              <w:rPr>
                <w:rFonts w:ascii="Calibri" w:hAnsi="Calibri"/>
                <w:b/>
                <w:sz w:val="20"/>
              </w:rPr>
              <w:t>Description</w:t>
            </w:r>
          </w:p>
        </w:tc>
        <w:tc>
          <w:tcPr>
            <w:tcW w:type="dxa" w:w="3312"/>
            <w:vAlign w:val="center"/>
            <w:shd w:fill="D9E2F3"/>
          </w:tcPr>
          <w:p>
            <w:r>
              <w:rPr>
                <w:rFonts w:ascii="Calibri" w:hAnsi="Calibri"/>
                <w:b/>
                <w:sz w:val="20"/>
              </w:rPr>
              <w:t>Example / Tool</w:t>
            </w:r>
          </w:p>
        </w:tc>
      </w:tr>
      <w:tr>
        <w:tc>
          <w:tcPr>
            <w:tcW w:type="dxa" w:w="3312"/>
            <w:vAlign w:val="center"/>
          </w:tcPr>
          <w:p>
            <w:r>
              <w:rPr>
                <w:rFonts w:ascii="Calibri" w:hAnsi="Calibri"/>
                <w:sz w:val="20"/>
              </w:rPr>
              <w:t>Data Extraction</w:t>
            </w:r>
          </w:p>
        </w:tc>
        <w:tc>
          <w:tcPr>
            <w:tcW w:type="dxa" w:w="3312"/>
            <w:vAlign w:val="center"/>
          </w:tcPr>
          <w:p>
            <w:r>
              <w:rPr>
                <w:rFonts w:ascii="Calibri" w:hAnsi="Calibri"/>
                <w:sz w:val="20"/>
              </w:rPr>
              <w:t>Bring raw data from OLTP systems, APIs, files, or streams into a controlled stage.</w:t>
            </w:r>
          </w:p>
        </w:tc>
        <w:tc>
          <w:tcPr>
            <w:tcW w:type="dxa" w:w="3312"/>
            <w:vAlign w:val="center"/>
          </w:tcPr>
          <w:p>
            <w:r>
              <w:rPr>
                <w:rFonts w:ascii="Calibri" w:hAnsi="Calibri"/>
                <w:sz w:val="20"/>
              </w:rPr>
              <w:t>SELECT with watermark filters, API pagination, CDC connectors</w:t>
            </w:r>
          </w:p>
        </w:tc>
      </w:tr>
      <w:tr>
        <w:tc>
          <w:tcPr>
            <w:tcW w:type="dxa" w:w="3312"/>
            <w:vAlign w:val="center"/>
          </w:tcPr>
          <w:p>
            <w:r>
              <w:rPr>
                <w:rFonts w:ascii="Calibri" w:hAnsi="Calibri"/>
                <w:sz w:val="20"/>
              </w:rPr>
              <w:t>Transformation</w:t>
            </w:r>
          </w:p>
        </w:tc>
        <w:tc>
          <w:tcPr>
            <w:tcW w:type="dxa" w:w="3312"/>
            <w:vAlign w:val="center"/>
          </w:tcPr>
          <w:p>
            <w:r>
              <w:rPr>
                <w:rFonts w:ascii="Calibri" w:hAnsi="Calibri"/>
                <w:sz w:val="20"/>
              </w:rPr>
              <w:t>Convert raw values to consistent business-ready structures.</w:t>
            </w:r>
          </w:p>
        </w:tc>
        <w:tc>
          <w:tcPr>
            <w:tcW w:type="dxa" w:w="3312"/>
            <w:vAlign w:val="center"/>
          </w:tcPr>
          <w:p>
            <w:r>
              <w:rPr>
                <w:rFonts w:ascii="Calibri" w:hAnsi="Calibri"/>
                <w:sz w:val="20"/>
              </w:rPr>
              <w:t>SQL transforms, PySpark, Dataflows</w:t>
            </w:r>
          </w:p>
        </w:tc>
      </w:tr>
      <w:tr>
        <w:tc>
          <w:tcPr>
            <w:tcW w:type="dxa" w:w="3312"/>
            <w:vAlign w:val="center"/>
          </w:tcPr>
          <w:p>
            <w:r>
              <w:rPr>
                <w:rFonts w:ascii="Calibri" w:hAnsi="Calibri"/>
                <w:sz w:val="20"/>
              </w:rPr>
              <w:t>Loading</w:t>
            </w:r>
          </w:p>
        </w:tc>
        <w:tc>
          <w:tcPr>
            <w:tcW w:type="dxa" w:w="3312"/>
            <w:vAlign w:val="center"/>
          </w:tcPr>
          <w:p>
            <w:r>
              <w:rPr>
                <w:rFonts w:ascii="Calibri" w:hAnsi="Calibri"/>
                <w:sz w:val="20"/>
              </w:rPr>
              <w:t>Write transformed output into dimensions, facts, or curated models.</w:t>
            </w:r>
          </w:p>
        </w:tc>
        <w:tc>
          <w:tcPr>
            <w:tcW w:type="dxa" w:w="3312"/>
            <w:vAlign w:val="center"/>
          </w:tcPr>
          <w:p>
            <w:r>
              <w:rPr>
                <w:rFonts w:ascii="Calibri" w:hAnsi="Calibri"/>
                <w:sz w:val="20"/>
              </w:rPr>
              <w:t>INSERT, MERGE, bulk load, Delta writes</w:t>
            </w:r>
          </w:p>
        </w:tc>
      </w:tr>
      <w:tr>
        <w:tc>
          <w:tcPr>
            <w:tcW w:type="dxa" w:w="3312"/>
            <w:vAlign w:val="center"/>
          </w:tcPr>
          <w:p>
            <w:r>
              <w:rPr>
                <w:rFonts w:ascii="Calibri" w:hAnsi="Calibri"/>
                <w:sz w:val="20"/>
              </w:rPr>
              <w:t>Orchestration</w:t>
            </w:r>
          </w:p>
        </w:tc>
        <w:tc>
          <w:tcPr>
            <w:tcW w:type="dxa" w:w="3312"/>
            <w:vAlign w:val="center"/>
          </w:tcPr>
          <w:p>
            <w:r>
              <w:rPr>
                <w:rFonts w:ascii="Calibri" w:hAnsi="Calibri"/>
                <w:sz w:val="20"/>
              </w:rPr>
              <w:t>Control order, dependencies, and retries across ETL/ELT tasks.</w:t>
            </w:r>
          </w:p>
        </w:tc>
        <w:tc>
          <w:tcPr>
            <w:tcW w:type="dxa" w:w="3312"/>
            <w:vAlign w:val="center"/>
          </w:tcPr>
          <w:p>
            <w:r>
              <w:rPr>
                <w:rFonts w:ascii="Calibri" w:hAnsi="Calibri"/>
                <w:sz w:val="20"/>
              </w:rPr>
              <w:t>Fabric Data Pipeline, Airflow</w:t>
            </w:r>
          </w:p>
        </w:tc>
      </w:tr>
      <w:tr>
        <w:tc>
          <w:tcPr>
            <w:tcW w:type="dxa" w:w="3312"/>
            <w:vAlign w:val="center"/>
          </w:tcPr>
          <w:p>
            <w:r>
              <w:rPr>
                <w:rFonts w:ascii="Calibri" w:hAnsi="Calibri"/>
                <w:sz w:val="20"/>
              </w:rPr>
              <w:t>Monitoring</w:t>
            </w:r>
          </w:p>
        </w:tc>
        <w:tc>
          <w:tcPr>
            <w:tcW w:type="dxa" w:w="3312"/>
            <w:vAlign w:val="center"/>
          </w:tcPr>
          <w:p>
            <w:r>
              <w:rPr>
                <w:rFonts w:ascii="Calibri" w:hAnsi="Calibri"/>
                <w:sz w:val="20"/>
              </w:rPr>
              <w:t>Track load counts, failures, freshness, and latency.</w:t>
            </w:r>
          </w:p>
        </w:tc>
        <w:tc>
          <w:tcPr>
            <w:tcW w:type="dxa" w:w="3312"/>
            <w:vAlign w:val="center"/>
          </w:tcPr>
          <w:p>
            <w:r>
              <w:rPr>
                <w:rFonts w:ascii="Calibri" w:hAnsi="Calibri"/>
                <w:sz w:val="20"/>
              </w:rPr>
              <w:t>Monitoring Hub, Log Analytics, pipeline run metrics</w:t>
            </w:r>
          </w:p>
        </w:tc>
      </w:tr>
    </w:tbl>
    <w:p/>
    <w:p>
      <w:pPr>
        <w:ind w:left="360" w:right="360"/>
        <w:shd w:fill="F3F5F7"/>
      </w:pPr>
      <w:r>
        <w:rPr>
          <w:rFonts w:ascii="Courier New" w:hAnsi="Courier New"/>
          <w:sz w:val="18"/>
        </w:rPr>
        <w:t>```mermaid</w:t>
      </w:r>
    </w:p>
    <w:p>
      <w:pPr>
        <w:ind w:left="360" w:right="360"/>
        <w:shd w:fill="F3F5F7"/>
      </w:pPr>
      <w:r>
        <w:rPr>
          <w:rFonts w:ascii="Courier New" w:hAnsi="Courier New"/>
          <w:sz w:val="18"/>
        </w:rPr>
        <w:t>flowchart TB</w:t>
      </w:r>
    </w:p>
    <w:p>
      <w:pPr>
        <w:ind w:left="360" w:right="360"/>
        <w:shd w:fill="F3F5F7"/>
      </w:pPr>
      <w:r>
        <w:rPr>
          <w:rFonts w:ascii="Courier New" w:hAnsi="Courier New"/>
          <w:sz w:val="18"/>
        </w:rPr>
        <w:t xml:space="preserve">    subgraph Traditional ETL</w:t>
      </w:r>
    </w:p>
    <w:p>
      <w:pPr>
        <w:ind w:left="360" w:right="360"/>
        <w:shd w:fill="F3F5F7"/>
      </w:pPr>
      <w:r>
        <w:rPr>
          <w:rFonts w:ascii="Courier New" w:hAnsi="Courier New"/>
          <w:sz w:val="18"/>
        </w:rPr>
        <w:t xml:space="preserve">        A1[Sources] --&gt; B1[Extract]</w:t>
      </w:r>
    </w:p>
    <w:p>
      <w:pPr>
        <w:ind w:left="360" w:right="360"/>
        <w:shd w:fill="F3F5F7"/>
      </w:pPr>
      <w:r>
        <w:rPr>
          <w:rFonts w:ascii="Courier New" w:hAnsi="Courier New"/>
          <w:sz w:val="18"/>
        </w:rPr>
        <w:t xml:space="preserve">        B1 --&gt; C1[Transform Outside Target]</w:t>
      </w:r>
    </w:p>
    <w:p>
      <w:pPr>
        <w:ind w:left="360" w:right="360"/>
        <w:shd w:fill="F3F5F7"/>
      </w:pPr>
      <w:r>
        <w:rPr>
          <w:rFonts w:ascii="Courier New" w:hAnsi="Courier New"/>
          <w:sz w:val="18"/>
        </w:rPr>
        <w:t xml:space="preserve">        C1 --&gt; D1[Load to Warehouse]</w:t>
      </w:r>
    </w:p>
    <w:p>
      <w:pPr>
        <w:ind w:left="360" w:right="360"/>
        <w:shd w:fill="F3F5F7"/>
      </w:pPr>
      <w:r>
        <w:rPr>
          <w:rFonts w:ascii="Courier New" w:hAnsi="Courier New"/>
          <w:sz w:val="18"/>
        </w:rPr>
        <w:t xml:space="preserve">    end</w:t>
      </w:r>
    </w:p>
    <w:p>
      <w:pPr>
        <w:ind w:left="360" w:right="360"/>
        <w:shd w:fill="F3F5F7"/>
      </w:pPr>
      <w:r>
        <w:rPr>
          <w:rFonts w:ascii="Courier New" w:hAnsi="Courier New"/>
          <w:sz w:val="18"/>
        </w:rPr>
        <w:t xml:space="preserve">    subgraph Modern ELT</w:t>
      </w:r>
    </w:p>
    <w:p>
      <w:pPr>
        <w:ind w:left="360" w:right="360"/>
        <w:shd w:fill="F3F5F7"/>
      </w:pPr>
      <w:r>
        <w:rPr>
          <w:rFonts w:ascii="Courier New" w:hAnsi="Courier New"/>
          <w:sz w:val="18"/>
        </w:rPr>
        <w:t xml:space="preserve">        A2[Sources] --&gt; B2[Extract]</w:t>
      </w:r>
    </w:p>
    <w:p>
      <w:pPr>
        <w:ind w:left="360" w:right="360"/>
        <w:shd w:fill="F3F5F7"/>
      </w:pPr>
      <w:r>
        <w:rPr>
          <w:rFonts w:ascii="Courier New" w:hAnsi="Courier New"/>
          <w:sz w:val="18"/>
        </w:rPr>
        <w:t xml:space="preserve">        B2 --&gt; C2[Load Raw to Target]</w:t>
      </w:r>
    </w:p>
    <w:p>
      <w:pPr>
        <w:ind w:left="360" w:right="360"/>
        <w:shd w:fill="F3F5F7"/>
      </w:pPr>
      <w:r>
        <w:rPr>
          <w:rFonts w:ascii="Courier New" w:hAnsi="Courier New"/>
          <w:sz w:val="18"/>
        </w:rPr>
        <w:t xml:space="preserve">        C2 --&gt; D2[Transform in Warehouse / Lakehouse]</w:t>
      </w:r>
    </w:p>
    <w:p>
      <w:pPr>
        <w:ind w:left="360" w:right="360"/>
        <w:shd w:fill="F3F5F7"/>
      </w:pPr>
      <w:r>
        <w:rPr>
          <w:rFonts w:ascii="Courier New" w:hAnsi="Courier New"/>
          <w:sz w:val="18"/>
        </w:rPr>
        <w:t xml:space="preserve">        D2 --&gt; E2[Curated Models / Marts]</w:t>
      </w:r>
    </w:p>
    <w:p>
      <w:pPr>
        <w:ind w:left="360" w:right="360"/>
        <w:shd w:fill="F3F5F7"/>
      </w:pPr>
      <w:r>
        <w:rPr>
          <w:rFonts w:ascii="Courier New" w:hAnsi="Courier New"/>
          <w:sz w:val="18"/>
        </w:rPr>
        <w:t xml:space="preserve">    end</w:t>
      </w:r>
    </w:p>
    <w:p>
      <w:pPr>
        <w:ind w:left="360" w:right="360"/>
        <w:shd w:fill="F3F5F7"/>
      </w:pPr>
      <w:r>
        <w:rPr>
          <w:rFonts w:ascii="Courier New" w:hAnsi="Courier New"/>
          <w:sz w:val="18"/>
        </w:rPr>
        <w:t>```</w:t>
      </w:r>
    </w:p>
    <w:p>
      <w:pPr>
        <w:pStyle w:val="Heading2"/>
      </w:pPr>
      <w:r>
        <w:t>Why ELT Became More Popular</w:t>
      </w:r>
    </w:p>
    <w:p>
      <w:pPr>
        <w:pStyle w:val="ListBullet"/>
      </w:pPr>
      <w:r>
        <w:t>Modern cloud platforms provide scalable compute close to storage.</w:t>
      </w:r>
    </w:p>
    <w:p>
      <w:pPr>
        <w:pStyle w:val="ListBullet"/>
      </w:pPr>
      <w:r>
        <w:t>SQL-based transformations are easier to govern and audit centrally.</w:t>
      </w:r>
    </w:p>
    <w:p>
      <w:pPr>
        <w:pStyle w:val="ListBullet"/>
      </w:pPr>
      <w:r>
        <w:t>Raw data retention supports replay, debugging, and new use cases.</w:t>
      </w:r>
    </w:p>
    <w:p>
      <w:pPr>
        <w:pStyle w:val="ListBullet"/>
      </w:pPr>
      <w:r>
        <w:t>Separation of storage and compute allows more flexible workload management.</w:t>
      </w:r>
    </w:p>
    <w:p>
      <w:pPr>
        <w:pStyle w:val="Heading1"/>
      </w:pPr>
      <w:r>
        <w:t>8. Data Extraction Patterns</w:t>
      </w:r>
    </w:p>
    <w:p>
      <w:r>
        <w:t>Extraction strategy should match source characteristics, data size, latency needs, and source-system constraints.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Calibri" w:hAnsi="Calibri"/>
                <w:b/>
                <w:sz w:val="20"/>
              </w:rPr>
              <w:t>Pattern</w:t>
            </w:r>
          </w:p>
        </w:tc>
        <w:tc>
          <w:tcPr>
            <w:tcW w:type="dxa" w:w="3312"/>
            <w:vAlign w:val="center"/>
            <w:shd w:fill="D9E2F3"/>
          </w:tcPr>
          <w:p>
            <w:r>
              <w:rPr>
                <w:rFonts w:ascii="Calibri" w:hAnsi="Calibri"/>
                <w:b/>
                <w:sz w:val="20"/>
              </w:rPr>
              <w:t>Description</w:t>
            </w:r>
          </w:p>
        </w:tc>
        <w:tc>
          <w:tcPr>
            <w:tcW w:type="dxa" w:w="3312"/>
            <w:vAlign w:val="center"/>
            <w:shd w:fill="D9E2F3"/>
          </w:tcPr>
          <w:p>
            <w:r>
              <w:rPr>
                <w:rFonts w:ascii="Calibri" w:hAnsi="Calibri"/>
                <w:b/>
                <w:sz w:val="20"/>
              </w:rPr>
              <w:t>When to Use</w:t>
            </w:r>
          </w:p>
        </w:tc>
      </w:tr>
      <w:tr>
        <w:tc>
          <w:tcPr>
            <w:tcW w:type="dxa" w:w="3312"/>
            <w:vAlign w:val="center"/>
          </w:tcPr>
          <w:p>
            <w:r>
              <w:rPr>
                <w:rFonts w:ascii="Calibri" w:hAnsi="Calibri"/>
                <w:sz w:val="20"/>
              </w:rPr>
              <w:t>Full Load</w:t>
            </w:r>
          </w:p>
        </w:tc>
        <w:tc>
          <w:tcPr>
            <w:tcW w:type="dxa" w:w="3312"/>
            <w:vAlign w:val="center"/>
          </w:tcPr>
          <w:p>
            <w:r>
              <w:rPr>
                <w:rFonts w:ascii="Calibri" w:hAnsi="Calibri"/>
                <w:sz w:val="20"/>
              </w:rPr>
              <w:t>Reload the entire dataset</w:t>
            </w:r>
          </w:p>
        </w:tc>
        <w:tc>
          <w:tcPr>
            <w:tcW w:type="dxa" w:w="3312"/>
            <w:vAlign w:val="center"/>
          </w:tcPr>
          <w:p>
            <w:r>
              <w:rPr>
                <w:rFonts w:ascii="Calibri" w:hAnsi="Calibri"/>
                <w:sz w:val="20"/>
              </w:rPr>
              <w:t>Small/reference data or complete rebuilds</w:t>
            </w:r>
          </w:p>
        </w:tc>
      </w:tr>
      <w:tr>
        <w:tc>
          <w:tcPr>
            <w:tcW w:type="dxa" w:w="3312"/>
            <w:vAlign w:val="center"/>
          </w:tcPr>
          <w:p>
            <w:r>
              <w:rPr>
                <w:rFonts w:ascii="Calibri" w:hAnsi="Calibri"/>
                <w:sz w:val="20"/>
              </w:rPr>
              <w:t>Incremental Load</w:t>
            </w:r>
          </w:p>
        </w:tc>
        <w:tc>
          <w:tcPr>
            <w:tcW w:type="dxa" w:w="3312"/>
            <w:vAlign w:val="center"/>
          </w:tcPr>
          <w:p>
            <w:r>
              <w:rPr>
                <w:rFonts w:ascii="Calibri" w:hAnsi="Calibri"/>
                <w:sz w:val="20"/>
              </w:rPr>
              <w:t>Load only data changed since the last successful run</w:t>
            </w:r>
          </w:p>
        </w:tc>
        <w:tc>
          <w:tcPr>
            <w:tcW w:type="dxa" w:w="3312"/>
            <w:vAlign w:val="center"/>
          </w:tcPr>
          <w:p>
            <w:r>
              <w:rPr>
                <w:rFonts w:ascii="Calibri" w:hAnsi="Calibri"/>
                <w:sz w:val="20"/>
              </w:rPr>
              <w:t>Large tables with small daily deltas</w:t>
            </w:r>
          </w:p>
        </w:tc>
      </w:tr>
      <w:tr>
        <w:tc>
          <w:tcPr>
            <w:tcW w:type="dxa" w:w="3312"/>
            <w:vAlign w:val="center"/>
          </w:tcPr>
          <w:p>
            <w:r>
              <w:rPr>
                <w:rFonts w:ascii="Calibri" w:hAnsi="Calibri"/>
                <w:sz w:val="20"/>
              </w:rPr>
              <w:t>CDC</w:t>
            </w:r>
          </w:p>
        </w:tc>
        <w:tc>
          <w:tcPr>
            <w:tcW w:type="dxa" w:w="3312"/>
            <w:vAlign w:val="center"/>
          </w:tcPr>
          <w:p>
            <w:r>
              <w:rPr>
                <w:rFonts w:ascii="Calibri" w:hAnsi="Calibri"/>
                <w:sz w:val="20"/>
              </w:rPr>
              <w:t>Capture inserts, updates, deletes from source change logs</w:t>
            </w:r>
          </w:p>
        </w:tc>
        <w:tc>
          <w:tcPr>
            <w:tcW w:type="dxa" w:w="3312"/>
            <w:vAlign w:val="center"/>
          </w:tcPr>
          <w:p>
            <w:r>
              <w:rPr>
                <w:rFonts w:ascii="Calibri" w:hAnsi="Calibri"/>
                <w:sz w:val="20"/>
              </w:rPr>
              <w:t>Low-impact replication from OLTP</w:t>
            </w:r>
          </w:p>
        </w:tc>
      </w:tr>
      <w:tr>
        <w:tc>
          <w:tcPr>
            <w:tcW w:type="dxa" w:w="3312"/>
            <w:vAlign w:val="center"/>
          </w:tcPr>
          <w:p>
            <w:r>
              <w:rPr>
                <w:rFonts w:ascii="Calibri" w:hAnsi="Calibri"/>
                <w:sz w:val="20"/>
              </w:rPr>
              <w:t>Snapshot</w:t>
            </w:r>
          </w:p>
        </w:tc>
        <w:tc>
          <w:tcPr>
            <w:tcW w:type="dxa" w:w="3312"/>
            <w:vAlign w:val="center"/>
          </w:tcPr>
          <w:p>
            <w:r>
              <w:rPr>
                <w:rFonts w:ascii="Calibri" w:hAnsi="Calibri"/>
                <w:sz w:val="20"/>
              </w:rPr>
              <w:t>Capture the state of a source at a point in time</w:t>
            </w:r>
          </w:p>
        </w:tc>
        <w:tc>
          <w:tcPr>
            <w:tcW w:type="dxa" w:w="3312"/>
            <w:vAlign w:val="center"/>
          </w:tcPr>
          <w:p>
            <w:r>
              <w:rPr>
                <w:rFonts w:ascii="Calibri" w:hAnsi="Calibri"/>
                <w:sz w:val="20"/>
              </w:rPr>
              <w:t>Audit, slowly changing source comparisons</w:t>
            </w:r>
          </w:p>
        </w:tc>
      </w:tr>
      <w:tr>
        <w:tc>
          <w:tcPr>
            <w:tcW w:type="dxa" w:w="3312"/>
            <w:vAlign w:val="center"/>
          </w:tcPr>
          <w:p>
            <w:r>
              <w:rPr>
                <w:rFonts w:ascii="Calibri" w:hAnsi="Calibri"/>
                <w:sz w:val="20"/>
              </w:rPr>
              <w:t>API Polling</w:t>
            </w:r>
          </w:p>
        </w:tc>
        <w:tc>
          <w:tcPr>
            <w:tcW w:type="dxa" w:w="3312"/>
            <w:vAlign w:val="center"/>
          </w:tcPr>
          <w:p>
            <w:r>
              <w:rPr>
                <w:rFonts w:ascii="Calibri" w:hAnsi="Calibri"/>
                <w:sz w:val="20"/>
              </w:rPr>
              <w:t>Repeatedly call APIs for new/changed data</w:t>
            </w:r>
          </w:p>
        </w:tc>
        <w:tc>
          <w:tcPr>
            <w:tcW w:type="dxa" w:w="3312"/>
            <w:vAlign w:val="center"/>
          </w:tcPr>
          <w:p>
            <w:r>
              <w:rPr>
                <w:rFonts w:ascii="Calibri" w:hAnsi="Calibri"/>
                <w:sz w:val="20"/>
              </w:rPr>
              <w:t>SaaS sources and external services</w:t>
            </w:r>
          </w:p>
        </w:tc>
      </w:tr>
      <w:tr>
        <w:tc>
          <w:tcPr>
            <w:tcW w:type="dxa" w:w="3312"/>
            <w:vAlign w:val="center"/>
          </w:tcPr>
          <w:p>
            <w:r>
              <w:rPr>
                <w:rFonts w:ascii="Calibri" w:hAnsi="Calibri"/>
                <w:sz w:val="20"/>
              </w:rPr>
              <w:t>Webhook / Event Push</w:t>
            </w:r>
          </w:p>
        </w:tc>
        <w:tc>
          <w:tcPr>
            <w:tcW w:type="dxa" w:w="3312"/>
            <w:vAlign w:val="center"/>
          </w:tcPr>
          <w:p>
            <w:r>
              <w:rPr>
                <w:rFonts w:ascii="Calibri" w:hAnsi="Calibri"/>
                <w:sz w:val="20"/>
              </w:rPr>
              <w:t>Receive data when source emits an event</w:t>
            </w:r>
          </w:p>
        </w:tc>
        <w:tc>
          <w:tcPr>
            <w:tcW w:type="dxa" w:w="3312"/>
            <w:vAlign w:val="center"/>
          </w:tcPr>
          <w:p>
            <w:r>
              <w:rPr>
                <w:rFonts w:ascii="Calibri" w:hAnsi="Calibri"/>
                <w:sz w:val="20"/>
              </w:rPr>
              <w:t>Near real-time integrations</w:t>
            </w:r>
          </w:p>
        </w:tc>
      </w:tr>
    </w:tbl>
    <w:p/>
    <w:p>
      <w:pPr>
        <w:ind w:left="360" w:right="360"/>
        <w:shd w:fill="F3F5F7"/>
      </w:pPr>
      <w:r>
        <w:rPr>
          <w:rFonts w:ascii="Courier New" w:hAnsi="Courier New"/>
          <w:sz w:val="18"/>
        </w:rPr>
        <w:t>```sql</w:t>
      </w:r>
    </w:p>
    <w:p>
      <w:pPr>
        <w:ind w:left="360" w:right="360"/>
        <w:shd w:fill="F3F5F7"/>
      </w:pPr>
      <w:r>
        <w:rPr>
          <w:rFonts w:ascii="Courier New" w:hAnsi="Courier New"/>
          <w:sz w:val="18"/>
        </w:rPr>
        <w:t>SELECT</w:t>
      </w:r>
    </w:p>
    <w:p>
      <w:pPr>
        <w:ind w:left="360" w:right="360"/>
        <w:shd w:fill="F3F5F7"/>
      </w:pPr>
      <w:r>
        <w:rPr>
          <w:rFonts w:ascii="Courier New" w:hAnsi="Courier New"/>
          <w:sz w:val="18"/>
        </w:rPr>
        <w:t xml:space="preserve">    order_id,</w:t>
      </w:r>
    </w:p>
    <w:p>
      <w:pPr>
        <w:ind w:left="360" w:right="360"/>
        <w:shd w:fill="F3F5F7"/>
      </w:pPr>
      <w:r>
        <w:rPr>
          <w:rFonts w:ascii="Courier New" w:hAnsi="Courier New"/>
          <w:sz w:val="18"/>
        </w:rPr>
        <w:t xml:space="preserve">    customer_id,</w:t>
      </w:r>
    </w:p>
    <w:p>
      <w:pPr>
        <w:ind w:left="360" w:right="360"/>
        <w:shd w:fill="F3F5F7"/>
      </w:pPr>
      <w:r>
        <w:rPr>
          <w:rFonts w:ascii="Courier New" w:hAnsi="Courier New"/>
          <w:sz w:val="18"/>
        </w:rPr>
        <w:t xml:space="preserve">    order_date,</w:t>
      </w:r>
    </w:p>
    <w:p>
      <w:pPr>
        <w:ind w:left="360" w:right="360"/>
        <w:shd w:fill="F3F5F7"/>
      </w:pPr>
      <w:r>
        <w:rPr>
          <w:rFonts w:ascii="Courier New" w:hAnsi="Courier New"/>
          <w:sz w:val="18"/>
        </w:rPr>
        <w:t xml:space="preserve">    total_amount,</w:t>
      </w:r>
    </w:p>
    <w:p>
      <w:pPr>
        <w:ind w:left="360" w:right="360"/>
        <w:shd w:fill="F3F5F7"/>
      </w:pPr>
      <w:r>
        <w:rPr>
          <w:rFonts w:ascii="Courier New" w:hAnsi="Courier New"/>
          <w:sz w:val="18"/>
        </w:rPr>
        <w:t xml:space="preserve">    updated_at</w:t>
      </w:r>
    </w:p>
    <w:p>
      <w:pPr>
        <w:ind w:left="360" w:right="360"/>
        <w:shd w:fill="F3F5F7"/>
      </w:pPr>
      <w:r>
        <w:rPr>
          <w:rFonts w:ascii="Courier New" w:hAnsi="Courier New"/>
          <w:sz w:val="18"/>
        </w:rPr>
        <w:t>FROM Orders</w:t>
      </w:r>
    </w:p>
    <w:p>
      <w:pPr>
        <w:ind w:left="360" w:right="360"/>
        <w:shd w:fill="F3F5F7"/>
      </w:pPr>
      <w:r>
        <w:rPr>
          <w:rFonts w:ascii="Courier New" w:hAnsi="Courier New"/>
          <w:sz w:val="18"/>
        </w:rPr>
        <w:t>WHERE updated_at &gt; TIMESTAMP '2026-01-01 00:00:00';</w:t>
      </w:r>
    </w:p>
    <w:p>
      <w:pPr>
        <w:ind w:left="360" w:right="360"/>
        <w:shd w:fill="F3F5F7"/>
      </w:pPr>
      <w:r>
        <w:rPr>
          <w:rFonts w:ascii="Courier New" w:hAnsi="Courier New"/>
          <w:sz w:val="18"/>
        </w:rPr>
        <w:t>```</w:t>
      </w:r>
    </w:p>
    <w:p>
      <w:pPr>
        <w:pStyle w:val="Heading1"/>
      </w:pPr>
      <w:r>
        <w:t>9. Transformation Strategy and Cleansing</w:t>
      </w:r>
    </w:p>
    <w:p>
      <w:r>
        <w:t>Transformation is where raw data becomes analytically useful. Common tasks include trimming, type casting, mapping codes, deduplicating business events, applying status rules, standardizing timestamps, enriching from reference data, and computing derived measures.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Calibri" w:hAnsi="Calibri"/>
                <w:b/>
                <w:sz w:val="20"/>
              </w:rPr>
              <w:t>Transformation Type</w:t>
            </w:r>
          </w:p>
        </w:tc>
        <w:tc>
          <w:tcPr>
            <w:tcW w:type="dxa" w:w="3312"/>
            <w:vAlign w:val="center"/>
            <w:shd w:fill="D9E2F3"/>
          </w:tcPr>
          <w:p>
            <w:r>
              <w:rPr>
                <w:rFonts w:ascii="Calibri" w:hAnsi="Calibri"/>
                <w:b/>
                <w:sz w:val="20"/>
              </w:rPr>
              <w:t>Description</w:t>
            </w:r>
          </w:p>
        </w:tc>
        <w:tc>
          <w:tcPr>
            <w:tcW w:type="dxa" w:w="3312"/>
            <w:vAlign w:val="center"/>
            <w:shd w:fill="D9E2F3"/>
          </w:tcPr>
          <w:p>
            <w:r>
              <w:rPr>
                <w:rFonts w:ascii="Calibri" w:hAnsi="Calibri"/>
                <w:b/>
                <w:sz w:val="20"/>
              </w:rPr>
              <w:t>Example / Tool</w:t>
            </w:r>
          </w:p>
        </w:tc>
      </w:tr>
      <w:tr>
        <w:tc>
          <w:tcPr>
            <w:tcW w:type="dxa" w:w="3312"/>
            <w:vAlign w:val="center"/>
          </w:tcPr>
          <w:p>
            <w:r>
              <w:rPr>
                <w:rFonts w:ascii="Calibri" w:hAnsi="Calibri"/>
                <w:sz w:val="20"/>
              </w:rPr>
              <w:t>Standardization</w:t>
            </w:r>
          </w:p>
        </w:tc>
        <w:tc>
          <w:tcPr>
            <w:tcW w:type="dxa" w:w="3312"/>
            <w:vAlign w:val="center"/>
          </w:tcPr>
          <w:p>
            <w:r>
              <w:rPr>
                <w:rFonts w:ascii="Calibri" w:hAnsi="Calibri"/>
                <w:sz w:val="20"/>
              </w:rPr>
              <w:t>Make values consistent across sources</w:t>
            </w:r>
          </w:p>
        </w:tc>
        <w:tc>
          <w:tcPr>
            <w:tcW w:type="dxa" w:w="3312"/>
            <w:vAlign w:val="center"/>
          </w:tcPr>
          <w:p>
            <w:r>
              <w:rPr>
                <w:rFonts w:ascii="Calibri" w:hAnsi="Calibri"/>
                <w:sz w:val="20"/>
              </w:rPr>
              <w:t>Upper/lower casing, timestamp normalization, code mapping</w:t>
            </w:r>
          </w:p>
        </w:tc>
      </w:tr>
      <w:tr>
        <w:tc>
          <w:tcPr>
            <w:tcW w:type="dxa" w:w="3312"/>
            <w:vAlign w:val="center"/>
          </w:tcPr>
          <w:p>
            <w:r>
              <w:rPr>
                <w:rFonts w:ascii="Calibri" w:hAnsi="Calibri"/>
                <w:sz w:val="20"/>
              </w:rPr>
              <w:t>Cleansing</w:t>
            </w:r>
          </w:p>
        </w:tc>
        <w:tc>
          <w:tcPr>
            <w:tcW w:type="dxa" w:w="3312"/>
            <w:vAlign w:val="center"/>
          </w:tcPr>
          <w:p>
            <w:r>
              <w:rPr>
                <w:rFonts w:ascii="Calibri" w:hAnsi="Calibri"/>
                <w:sz w:val="20"/>
              </w:rPr>
              <w:t>Fix or isolate bad values</w:t>
            </w:r>
          </w:p>
        </w:tc>
        <w:tc>
          <w:tcPr>
            <w:tcW w:type="dxa" w:w="3312"/>
            <w:vAlign w:val="center"/>
          </w:tcPr>
          <w:p>
            <w:r>
              <w:rPr>
                <w:rFonts w:ascii="Calibri" w:hAnsi="Calibri"/>
                <w:sz w:val="20"/>
              </w:rPr>
              <w:t>Null handling, invalid status correction, quarantine tables</w:t>
            </w:r>
          </w:p>
        </w:tc>
      </w:tr>
      <w:tr>
        <w:tc>
          <w:tcPr>
            <w:tcW w:type="dxa" w:w="3312"/>
            <w:vAlign w:val="center"/>
          </w:tcPr>
          <w:p>
            <w:r>
              <w:rPr>
                <w:rFonts w:ascii="Calibri" w:hAnsi="Calibri"/>
                <w:sz w:val="20"/>
              </w:rPr>
              <w:t>Enrichment</w:t>
            </w:r>
          </w:p>
        </w:tc>
        <w:tc>
          <w:tcPr>
            <w:tcW w:type="dxa" w:w="3312"/>
            <w:vAlign w:val="center"/>
          </w:tcPr>
          <w:p>
            <w:r>
              <w:rPr>
                <w:rFonts w:ascii="Calibri" w:hAnsi="Calibri"/>
                <w:sz w:val="20"/>
              </w:rPr>
              <w:t>Add context from reference data</w:t>
            </w:r>
          </w:p>
        </w:tc>
        <w:tc>
          <w:tcPr>
            <w:tcW w:type="dxa" w:w="3312"/>
            <w:vAlign w:val="center"/>
          </w:tcPr>
          <w:p>
            <w:r>
              <w:rPr>
                <w:rFonts w:ascii="Calibri" w:hAnsi="Calibri"/>
                <w:sz w:val="20"/>
              </w:rPr>
              <w:t>Join country-to-region maps, product hierarchy</w:t>
            </w:r>
          </w:p>
        </w:tc>
      </w:tr>
      <w:tr>
        <w:tc>
          <w:tcPr>
            <w:tcW w:type="dxa" w:w="3312"/>
            <w:vAlign w:val="center"/>
          </w:tcPr>
          <w:p>
            <w:r>
              <w:rPr>
                <w:rFonts w:ascii="Calibri" w:hAnsi="Calibri"/>
                <w:sz w:val="20"/>
              </w:rPr>
              <w:t>Derivation</w:t>
            </w:r>
          </w:p>
        </w:tc>
        <w:tc>
          <w:tcPr>
            <w:tcW w:type="dxa" w:w="3312"/>
            <w:vAlign w:val="center"/>
          </w:tcPr>
          <w:p>
            <w:r>
              <w:rPr>
                <w:rFonts w:ascii="Calibri" w:hAnsi="Calibri"/>
                <w:sz w:val="20"/>
              </w:rPr>
              <w:t>Calculate business metrics</w:t>
            </w:r>
          </w:p>
        </w:tc>
        <w:tc>
          <w:tcPr>
            <w:tcW w:type="dxa" w:w="3312"/>
            <w:vAlign w:val="center"/>
          </w:tcPr>
          <w:p>
            <w:r>
              <w:rPr>
                <w:rFonts w:ascii="Calibri" w:hAnsi="Calibri"/>
                <w:sz w:val="20"/>
              </w:rPr>
              <w:t>Revenue, margin, load factor, basket size</w:t>
            </w:r>
          </w:p>
        </w:tc>
      </w:tr>
      <w:tr>
        <w:tc>
          <w:tcPr>
            <w:tcW w:type="dxa" w:w="3312"/>
            <w:vAlign w:val="center"/>
          </w:tcPr>
          <w:p>
            <w:r>
              <w:rPr>
                <w:rFonts w:ascii="Calibri" w:hAnsi="Calibri"/>
                <w:sz w:val="20"/>
              </w:rPr>
              <w:t>Deduplication</w:t>
            </w:r>
          </w:p>
        </w:tc>
        <w:tc>
          <w:tcPr>
            <w:tcW w:type="dxa" w:w="3312"/>
            <w:vAlign w:val="center"/>
          </w:tcPr>
          <w:p>
            <w:r>
              <w:rPr>
                <w:rFonts w:ascii="Calibri" w:hAnsi="Calibri"/>
                <w:sz w:val="20"/>
              </w:rPr>
              <w:t>Remove duplicate or repeated events</w:t>
            </w:r>
          </w:p>
        </w:tc>
        <w:tc>
          <w:tcPr>
            <w:tcW w:type="dxa" w:w="3312"/>
            <w:vAlign w:val="center"/>
          </w:tcPr>
          <w:p>
            <w:r>
              <w:rPr>
                <w:rFonts w:ascii="Calibri" w:hAnsi="Calibri"/>
                <w:sz w:val="20"/>
              </w:rPr>
              <w:t>ROW_NUMBER, hash matching, business-key controls</w:t>
            </w:r>
          </w:p>
        </w:tc>
      </w:tr>
    </w:tbl>
    <w:p/>
    <w:p>
      <w:pPr>
        <w:ind w:left="360" w:right="360"/>
        <w:shd w:fill="F3F5F7"/>
      </w:pPr>
      <w:r>
        <w:rPr>
          <w:rFonts w:ascii="Courier New" w:hAnsi="Courier New"/>
          <w:sz w:val="18"/>
        </w:rPr>
        <w:t>```sql</w:t>
      </w:r>
    </w:p>
    <w:p>
      <w:pPr>
        <w:ind w:left="360" w:right="360"/>
        <w:shd w:fill="F3F5F7"/>
      </w:pPr>
      <w:r>
        <w:rPr>
          <w:rFonts w:ascii="Courier New" w:hAnsi="Courier New"/>
          <w:sz w:val="18"/>
        </w:rPr>
        <w:t>SELECT</w:t>
      </w:r>
    </w:p>
    <w:p>
      <w:pPr>
        <w:ind w:left="360" w:right="360"/>
        <w:shd w:fill="F3F5F7"/>
      </w:pPr>
      <w:r>
        <w:rPr>
          <w:rFonts w:ascii="Courier New" w:hAnsi="Courier New"/>
          <w:sz w:val="18"/>
        </w:rPr>
        <w:t xml:space="preserve">    o.order_id,</w:t>
      </w:r>
    </w:p>
    <w:p>
      <w:pPr>
        <w:ind w:left="360" w:right="360"/>
        <w:shd w:fill="F3F5F7"/>
      </w:pPr>
      <w:r>
        <w:rPr>
          <w:rFonts w:ascii="Courier New" w:hAnsi="Courier New"/>
          <w:sz w:val="18"/>
        </w:rPr>
        <w:t xml:space="preserve">    o.customer_id,</w:t>
      </w:r>
    </w:p>
    <w:p>
      <w:pPr>
        <w:ind w:left="360" w:right="360"/>
        <w:shd w:fill="F3F5F7"/>
      </w:pPr>
      <w:r>
        <w:rPr>
          <w:rFonts w:ascii="Courier New" w:hAnsi="Courier New"/>
          <w:sz w:val="18"/>
        </w:rPr>
        <w:t xml:space="preserve">    CAST(o.order_date AS DATE) AS order_date,</w:t>
      </w:r>
    </w:p>
    <w:p>
      <w:pPr>
        <w:ind w:left="360" w:right="360"/>
        <w:shd w:fill="F3F5F7"/>
      </w:pPr>
      <w:r>
        <w:rPr>
          <w:rFonts w:ascii="Courier New" w:hAnsi="Courier New"/>
          <w:sz w:val="18"/>
        </w:rPr>
        <w:t xml:space="preserve">    UPPER(c.country) AS country,</w:t>
      </w:r>
    </w:p>
    <w:p>
      <w:pPr>
        <w:ind w:left="360" w:right="360"/>
        <w:shd w:fill="F3F5F7"/>
      </w:pPr>
      <w:r>
        <w:rPr>
          <w:rFonts w:ascii="Courier New" w:hAnsi="Courier New"/>
          <w:sz w:val="18"/>
        </w:rPr>
        <w:t xml:space="preserve">    CASE</w:t>
      </w:r>
    </w:p>
    <w:p>
      <w:pPr>
        <w:ind w:left="360" w:right="360"/>
        <w:shd w:fill="F3F5F7"/>
      </w:pPr>
      <w:r>
        <w:rPr>
          <w:rFonts w:ascii="Courier New" w:hAnsi="Courier New"/>
          <w:sz w:val="18"/>
        </w:rPr>
        <w:t xml:space="preserve">        WHEN c.country IN ('UAE','KSA','QATAR') THEN 'GCC'</w:t>
      </w:r>
    </w:p>
    <w:p>
      <w:pPr>
        <w:ind w:left="360" w:right="360"/>
        <w:shd w:fill="F3F5F7"/>
      </w:pPr>
      <w:r>
        <w:rPr>
          <w:rFonts w:ascii="Courier New" w:hAnsi="Courier New"/>
          <w:sz w:val="18"/>
        </w:rPr>
        <w:t xml:space="preserve">        ELSE 'OTHER'</w:t>
      </w:r>
    </w:p>
    <w:p>
      <w:pPr>
        <w:ind w:left="360" w:right="360"/>
        <w:shd w:fill="F3F5F7"/>
      </w:pPr>
      <w:r>
        <w:rPr>
          <w:rFonts w:ascii="Courier New" w:hAnsi="Courier New"/>
          <w:sz w:val="18"/>
        </w:rPr>
        <w:t xml:space="preserve">    END AS region_group,</w:t>
      </w:r>
    </w:p>
    <w:p>
      <w:pPr>
        <w:ind w:left="360" w:right="360"/>
        <w:shd w:fill="F3F5F7"/>
      </w:pPr>
      <w:r>
        <w:rPr>
          <w:rFonts w:ascii="Courier New" w:hAnsi="Courier New"/>
          <w:sz w:val="18"/>
        </w:rPr>
        <w:t xml:space="preserve">    o.total_amount</w:t>
      </w:r>
    </w:p>
    <w:p>
      <w:pPr>
        <w:ind w:left="360" w:right="360"/>
        <w:shd w:fill="F3F5F7"/>
      </w:pPr>
      <w:r>
        <w:rPr>
          <w:rFonts w:ascii="Courier New" w:hAnsi="Courier New"/>
          <w:sz w:val="18"/>
        </w:rPr>
        <w:t>FROM stage_orders o</w:t>
      </w:r>
    </w:p>
    <w:p>
      <w:pPr>
        <w:ind w:left="360" w:right="360"/>
        <w:shd w:fill="F3F5F7"/>
      </w:pPr>
      <w:r>
        <w:rPr>
          <w:rFonts w:ascii="Courier New" w:hAnsi="Courier New"/>
          <w:sz w:val="18"/>
        </w:rPr>
        <w:t>LEFT JOIN dim_customer_reference c</w:t>
      </w:r>
    </w:p>
    <w:p>
      <w:pPr>
        <w:ind w:left="360" w:right="360"/>
        <w:shd w:fill="F3F5F7"/>
      </w:pPr>
      <w:r>
        <w:rPr>
          <w:rFonts w:ascii="Courier New" w:hAnsi="Courier New"/>
          <w:sz w:val="18"/>
        </w:rPr>
        <w:t xml:space="preserve">    ON o.customer_id = c.customer_id;</w:t>
      </w:r>
    </w:p>
    <w:p>
      <w:pPr>
        <w:ind w:left="360" w:right="360"/>
        <w:shd w:fill="F3F5F7"/>
      </w:pPr>
      <w:r>
        <w:rPr>
          <w:rFonts w:ascii="Courier New" w:hAnsi="Courier New"/>
          <w:sz w:val="18"/>
        </w:rPr>
        <w:t>```</w:t>
      </w:r>
    </w:p>
    <w:p>
      <w:pPr>
        <w:pStyle w:val="Heading1"/>
      </w:pPr>
      <w:r>
        <w:t>10. Full Load vs Incremental Load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Calibri" w:hAnsi="Calibri"/>
                <w:b/>
                <w:sz w:val="20"/>
              </w:rPr>
              <w:t>Criterion</w:t>
            </w:r>
          </w:p>
        </w:tc>
        <w:tc>
          <w:tcPr>
            <w:tcW w:type="dxa" w:w="3312"/>
            <w:vAlign w:val="center"/>
            <w:shd w:fill="D9E2F3"/>
          </w:tcPr>
          <w:p>
            <w:r>
              <w:rPr>
                <w:rFonts w:ascii="Calibri" w:hAnsi="Calibri"/>
                <w:b/>
                <w:sz w:val="20"/>
              </w:rPr>
              <w:t>Full Load</w:t>
            </w:r>
          </w:p>
        </w:tc>
        <w:tc>
          <w:tcPr>
            <w:tcW w:type="dxa" w:w="3312"/>
            <w:vAlign w:val="center"/>
            <w:shd w:fill="D9E2F3"/>
          </w:tcPr>
          <w:p>
            <w:r>
              <w:rPr>
                <w:rFonts w:ascii="Calibri" w:hAnsi="Calibri"/>
                <w:b/>
                <w:sz w:val="20"/>
              </w:rPr>
              <w:t>Incremental Load</w:t>
            </w:r>
          </w:p>
        </w:tc>
      </w:tr>
      <w:tr>
        <w:tc>
          <w:tcPr>
            <w:tcW w:type="dxa" w:w="3312"/>
            <w:vAlign w:val="center"/>
          </w:tcPr>
          <w:p>
            <w:r>
              <w:rPr>
                <w:rFonts w:ascii="Calibri" w:hAnsi="Calibri"/>
                <w:sz w:val="20"/>
              </w:rPr>
              <w:t>Data Volume Fit</w:t>
            </w:r>
          </w:p>
        </w:tc>
        <w:tc>
          <w:tcPr>
            <w:tcW w:type="dxa" w:w="3312"/>
            <w:vAlign w:val="center"/>
          </w:tcPr>
          <w:p>
            <w:r>
              <w:rPr>
                <w:rFonts w:ascii="Calibri" w:hAnsi="Calibri"/>
                <w:sz w:val="20"/>
              </w:rPr>
              <w:t>Best for small or periodic resets</w:t>
            </w:r>
          </w:p>
        </w:tc>
        <w:tc>
          <w:tcPr>
            <w:tcW w:type="dxa" w:w="3312"/>
            <w:vAlign w:val="center"/>
          </w:tcPr>
          <w:p>
            <w:r>
              <w:rPr>
                <w:rFonts w:ascii="Calibri" w:hAnsi="Calibri"/>
                <w:sz w:val="20"/>
              </w:rPr>
              <w:t>Best for large data with modest daily changes</w:t>
            </w:r>
          </w:p>
        </w:tc>
      </w:tr>
      <w:tr>
        <w:tc>
          <w:tcPr>
            <w:tcW w:type="dxa" w:w="3312"/>
            <w:vAlign w:val="center"/>
          </w:tcPr>
          <w:p>
            <w:r>
              <w:rPr>
                <w:rFonts w:ascii="Calibri" w:hAnsi="Calibri"/>
                <w:sz w:val="20"/>
              </w:rPr>
              <w:t>Complexity</w:t>
            </w:r>
          </w:p>
        </w:tc>
        <w:tc>
          <w:tcPr>
            <w:tcW w:type="dxa" w:w="3312"/>
            <w:vAlign w:val="center"/>
          </w:tcPr>
          <w:p>
            <w:r>
              <w:rPr>
                <w:rFonts w:ascii="Calibri" w:hAnsi="Calibri"/>
                <w:sz w:val="20"/>
              </w:rPr>
              <w:t>Lower</w:t>
            </w:r>
          </w:p>
        </w:tc>
        <w:tc>
          <w:tcPr>
            <w:tcW w:type="dxa" w:w="3312"/>
            <w:vAlign w:val="center"/>
          </w:tcPr>
          <w:p>
            <w:r>
              <w:rPr>
                <w:rFonts w:ascii="Calibri" w:hAnsi="Calibri"/>
                <w:sz w:val="20"/>
              </w:rPr>
              <w:t>Higher because of state and change tracking</w:t>
            </w:r>
          </w:p>
        </w:tc>
      </w:tr>
      <w:tr>
        <w:tc>
          <w:tcPr>
            <w:tcW w:type="dxa" w:w="3312"/>
            <w:vAlign w:val="center"/>
          </w:tcPr>
          <w:p>
            <w:r>
              <w:rPr>
                <w:rFonts w:ascii="Calibri" w:hAnsi="Calibri"/>
                <w:sz w:val="20"/>
              </w:rPr>
              <w:t>Runtime / Network</w:t>
            </w:r>
          </w:p>
        </w:tc>
        <w:tc>
          <w:tcPr>
            <w:tcW w:type="dxa" w:w="3312"/>
            <w:vAlign w:val="center"/>
          </w:tcPr>
          <w:p>
            <w:r>
              <w:rPr>
                <w:rFonts w:ascii="Calibri" w:hAnsi="Calibri"/>
                <w:sz w:val="20"/>
              </w:rPr>
              <w:t>Higher</w:t>
            </w:r>
          </w:p>
        </w:tc>
        <w:tc>
          <w:tcPr>
            <w:tcW w:type="dxa" w:w="3312"/>
            <w:vAlign w:val="center"/>
          </w:tcPr>
          <w:p>
            <w:r>
              <w:rPr>
                <w:rFonts w:ascii="Calibri" w:hAnsi="Calibri"/>
                <w:sz w:val="20"/>
              </w:rPr>
              <w:t>Lower</w:t>
            </w:r>
          </w:p>
        </w:tc>
      </w:tr>
      <w:tr>
        <w:tc>
          <w:tcPr>
            <w:tcW w:type="dxa" w:w="3312"/>
            <w:vAlign w:val="center"/>
          </w:tcPr>
          <w:p>
            <w:r>
              <w:rPr>
                <w:rFonts w:ascii="Calibri" w:hAnsi="Calibri"/>
                <w:sz w:val="20"/>
              </w:rPr>
              <w:t>Recovery</w:t>
            </w:r>
          </w:p>
        </w:tc>
        <w:tc>
          <w:tcPr>
            <w:tcW w:type="dxa" w:w="3312"/>
            <w:vAlign w:val="center"/>
          </w:tcPr>
          <w:p>
            <w:r>
              <w:rPr>
                <w:rFonts w:ascii="Calibri" w:hAnsi="Calibri"/>
                <w:sz w:val="20"/>
              </w:rPr>
              <w:t>Often rerun entirely</w:t>
            </w:r>
          </w:p>
        </w:tc>
        <w:tc>
          <w:tcPr>
            <w:tcW w:type="dxa" w:w="3312"/>
            <w:vAlign w:val="center"/>
          </w:tcPr>
          <w:p>
            <w:r>
              <w:rPr>
                <w:rFonts w:ascii="Calibri" w:hAnsi="Calibri"/>
                <w:sz w:val="20"/>
              </w:rPr>
              <w:t>Needs watermarks or replay strategy</w:t>
            </w:r>
          </w:p>
        </w:tc>
      </w:tr>
      <w:tr>
        <w:tc>
          <w:tcPr>
            <w:tcW w:type="dxa" w:w="3312"/>
            <w:vAlign w:val="center"/>
          </w:tcPr>
          <w:p>
            <w:r>
              <w:rPr>
                <w:rFonts w:ascii="Calibri" w:hAnsi="Calibri"/>
                <w:sz w:val="20"/>
              </w:rPr>
              <w:t>Use Example</w:t>
            </w:r>
          </w:p>
        </w:tc>
        <w:tc>
          <w:tcPr>
            <w:tcW w:type="dxa" w:w="3312"/>
            <w:vAlign w:val="center"/>
          </w:tcPr>
          <w:p>
            <w:r>
              <w:rPr>
                <w:rFonts w:ascii="Calibri" w:hAnsi="Calibri"/>
                <w:sz w:val="20"/>
              </w:rPr>
              <w:t>Small reference table</w:t>
            </w:r>
          </w:p>
        </w:tc>
        <w:tc>
          <w:tcPr>
            <w:tcW w:type="dxa" w:w="3312"/>
            <w:vAlign w:val="center"/>
          </w:tcPr>
          <w:p>
            <w:r>
              <w:rPr>
                <w:rFonts w:ascii="Calibri" w:hAnsi="Calibri"/>
                <w:sz w:val="20"/>
              </w:rPr>
              <w:t>Large orders or events table</w:t>
            </w:r>
          </w:p>
        </w:tc>
      </w:tr>
    </w:tbl>
    <w:p/>
    <w:p>
      <w:pPr>
        <w:ind w:left="360" w:right="360"/>
        <w:shd w:fill="F3F5F7"/>
      </w:pPr>
      <w:r>
        <w:rPr>
          <w:rFonts w:ascii="Courier New" w:hAnsi="Courier New"/>
          <w:sz w:val="18"/>
        </w:rPr>
        <w:t>```mermaid</w:t>
      </w:r>
    </w:p>
    <w:p>
      <w:pPr>
        <w:ind w:left="360" w:right="360"/>
        <w:shd w:fill="F3F5F7"/>
      </w:pPr>
      <w:r>
        <w:rPr>
          <w:rFonts w:ascii="Courier New" w:hAnsi="Courier New"/>
          <w:sz w:val="18"/>
        </w:rPr>
        <w:t>flowchart LR</w:t>
      </w:r>
    </w:p>
    <w:p>
      <w:pPr>
        <w:ind w:left="360" w:right="360"/>
        <w:shd w:fill="F3F5F7"/>
      </w:pPr>
      <w:r>
        <w:rPr>
          <w:rFonts w:ascii="Courier New" w:hAnsi="Courier New"/>
          <w:sz w:val="18"/>
        </w:rPr>
        <w:t xml:space="preserve">    A[Source System] --&gt; B{Changed Since Last Watermark?}</w:t>
      </w:r>
    </w:p>
    <w:p>
      <w:pPr>
        <w:ind w:left="360" w:right="360"/>
        <w:shd w:fill="F3F5F7"/>
      </w:pPr>
      <w:r>
        <w:rPr>
          <w:rFonts w:ascii="Courier New" w:hAnsi="Courier New"/>
          <w:sz w:val="18"/>
        </w:rPr>
        <w:t xml:space="preserve">    B -- Yes --&gt; C[Extract Delta]</w:t>
      </w:r>
    </w:p>
    <w:p>
      <w:pPr>
        <w:ind w:left="360" w:right="360"/>
        <w:shd w:fill="F3F5F7"/>
      </w:pPr>
      <w:r>
        <w:rPr>
          <w:rFonts w:ascii="Courier New" w:hAnsi="Courier New"/>
          <w:sz w:val="18"/>
        </w:rPr>
        <w:t xml:space="preserve">    B -- No --&gt; D[No-op / Skip]</w:t>
      </w:r>
    </w:p>
    <w:p>
      <w:pPr>
        <w:ind w:left="360" w:right="360"/>
        <w:shd w:fill="F3F5F7"/>
      </w:pPr>
      <w:r>
        <w:rPr>
          <w:rFonts w:ascii="Courier New" w:hAnsi="Courier New"/>
          <w:sz w:val="18"/>
        </w:rPr>
        <w:t xml:space="preserve">    C --&gt; E[Stage Delta]</w:t>
      </w:r>
    </w:p>
    <w:p>
      <w:pPr>
        <w:ind w:left="360" w:right="360"/>
        <w:shd w:fill="F3F5F7"/>
      </w:pPr>
      <w:r>
        <w:rPr>
          <w:rFonts w:ascii="Courier New" w:hAnsi="Courier New"/>
          <w:sz w:val="18"/>
        </w:rPr>
        <w:t xml:space="preserve">    E --&gt; F[Apply MERGE / UPSERT]</w:t>
      </w:r>
    </w:p>
    <w:p>
      <w:pPr>
        <w:ind w:left="360" w:right="360"/>
        <w:shd w:fill="F3F5F7"/>
      </w:pPr>
      <w:r>
        <w:rPr>
          <w:rFonts w:ascii="Courier New" w:hAnsi="Courier New"/>
          <w:sz w:val="18"/>
        </w:rPr>
        <w:t xml:space="preserve">    F --&gt; G[Update Watermark]</w:t>
      </w:r>
    </w:p>
    <w:p>
      <w:pPr>
        <w:ind w:left="360" w:right="360"/>
        <w:shd w:fill="F3F5F7"/>
      </w:pPr>
      <w:r>
        <w:rPr>
          <w:rFonts w:ascii="Courier New" w:hAnsi="Courier New"/>
          <w:sz w:val="18"/>
        </w:rPr>
        <w:t xml:space="preserve">    F --&gt; H[Audit Metrics]</w:t>
      </w:r>
    </w:p>
    <w:p>
      <w:pPr>
        <w:ind w:left="360" w:right="360"/>
        <w:shd w:fill="F3F5F7"/>
      </w:pPr>
      <w:r>
        <w:rPr>
          <w:rFonts w:ascii="Courier New" w:hAnsi="Courier New"/>
          <w:sz w:val="18"/>
        </w:rPr>
        <w:t>```</w:t>
      </w:r>
    </w:p>
    <w:p>
      <w:pPr>
        <w:pStyle w:val="Heading1"/>
      </w:pPr>
      <w:r>
        <w:t>11. SQL Patterns for Warehousing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Calibri" w:hAnsi="Calibri"/>
                <w:b/>
                <w:sz w:val="20"/>
              </w:rPr>
              <w:t>Concept</w:t>
            </w:r>
          </w:p>
        </w:tc>
        <w:tc>
          <w:tcPr>
            <w:tcW w:type="dxa" w:w="3312"/>
            <w:vAlign w:val="center"/>
            <w:shd w:fill="D9E2F3"/>
          </w:tcPr>
          <w:p>
            <w:r>
              <w:rPr>
                <w:rFonts w:ascii="Calibri" w:hAnsi="Calibri"/>
                <w:b/>
                <w:sz w:val="20"/>
              </w:rPr>
              <w:t>Description</w:t>
            </w:r>
          </w:p>
        </w:tc>
        <w:tc>
          <w:tcPr>
            <w:tcW w:type="dxa" w:w="3312"/>
            <w:vAlign w:val="center"/>
            <w:shd w:fill="D9E2F3"/>
          </w:tcPr>
          <w:p>
            <w:r>
              <w:rPr>
                <w:rFonts w:ascii="Calibri" w:hAnsi="Calibri"/>
                <w:b/>
                <w:sz w:val="20"/>
              </w:rPr>
              <w:t>Example / Tool</w:t>
            </w:r>
          </w:p>
        </w:tc>
      </w:tr>
      <w:tr>
        <w:tc>
          <w:tcPr>
            <w:tcW w:type="dxa" w:w="3312"/>
            <w:vAlign w:val="center"/>
          </w:tcPr>
          <w:p>
            <w:r>
              <w:rPr>
                <w:rFonts w:ascii="Calibri" w:hAnsi="Calibri"/>
                <w:sz w:val="20"/>
              </w:rPr>
              <w:t>Data Extraction</w:t>
            </w:r>
          </w:p>
        </w:tc>
        <w:tc>
          <w:tcPr>
            <w:tcW w:type="dxa" w:w="3312"/>
            <w:vAlign w:val="center"/>
          </w:tcPr>
          <w:p>
            <w:r>
              <w:rPr>
                <w:rFonts w:ascii="Calibri" w:hAnsi="Calibri"/>
                <w:sz w:val="20"/>
              </w:rPr>
              <w:t>Pull raw data from OLTP or stage sources.</w:t>
            </w:r>
          </w:p>
        </w:tc>
        <w:tc>
          <w:tcPr>
            <w:tcW w:type="dxa" w:w="3312"/>
            <w:vAlign w:val="center"/>
          </w:tcPr>
          <w:p>
            <w:r>
              <w:rPr>
                <w:rFonts w:ascii="Calibri" w:hAnsi="Calibri"/>
                <w:sz w:val="20"/>
              </w:rPr>
              <w:t>SELECT * FROM Orders WHERE UpdatedAt &gt; '2026-01-01';</w:t>
            </w:r>
          </w:p>
        </w:tc>
      </w:tr>
      <w:tr>
        <w:tc>
          <w:tcPr>
            <w:tcW w:type="dxa" w:w="3312"/>
            <w:vAlign w:val="center"/>
          </w:tcPr>
          <w:p>
            <w:r>
              <w:rPr>
                <w:rFonts w:ascii="Calibri" w:hAnsi="Calibri"/>
                <w:sz w:val="20"/>
              </w:rPr>
              <w:t>Transformation Logic</w:t>
            </w:r>
          </w:p>
        </w:tc>
        <w:tc>
          <w:tcPr>
            <w:tcW w:type="dxa" w:w="3312"/>
            <w:vAlign w:val="center"/>
          </w:tcPr>
          <w:p>
            <w:r>
              <w:rPr>
                <w:rFonts w:ascii="Calibri" w:hAnsi="Calibri"/>
                <w:sz w:val="20"/>
              </w:rPr>
              <w:t>Apply mapping, conformance, and cleansing rules.</w:t>
            </w:r>
          </w:p>
        </w:tc>
        <w:tc>
          <w:tcPr>
            <w:tcW w:type="dxa" w:w="3312"/>
            <w:vAlign w:val="center"/>
          </w:tcPr>
          <w:p>
            <w:r>
              <w:rPr>
                <w:rFonts w:ascii="Calibri" w:hAnsi="Calibri"/>
                <w:sz w:val="20"/>
              </w:rPr>
              <w:t>CASE WHEN Country IN ('UAE','KSA') THEN 'GCC' END</w:t>
            </w:r>
          </w:p>
        </w:tc>
      </w:tr>
      <w:tr>
        <w:tc>
          <w:tcPr>
            <w:tcW w:type="dxa" w:w="3312"/>
            <w:vAlign w:val="center"/>
          </w:tcPr>
          <w:p>
            <w:r>
              <w:rPr>
                <w:rFonts w:ascii="Calibri" w:hAnsi="Calibri"/>
                <w:sz w:val="20"/>
              </w:rPr>
              <w:t>Aggregation</w:t>
            </w:r>
          </w:p>
        </w:tc>
        <w:tc>
          <w:tcPr>
            <w:tcW w:type="dxa" w:w="3312"/>
            <w:vAlign w:val="center"/>
          </w:tcPr>
          <w:p>
            <w:r>
              <w:rPr>
                <w:rFonts w:ascii="Calibri" w:hAnsi="Calibri"/>
                <w:sz w:val="20"/>
              </w:rPr>
              <w:t>Summarize transactional data for analytics.</w:t>
            </w:r>
          </w:p>
        </w:tc>
        <w:tc>
          <w:tcPr>
            <w:tcW w:type="dxa" w:w="3312"/>
            <w:vAlign w:val="center"/>
          </w:tcPr>
          <w:p>
            <w:r>
              <w:rPr>
                <w:rFonts w:ascii="Calibri" w:hAnsi="Calibri"/>
                <w:sz w:val="20"/>
              </w:rPr>
              <w:t>SELECT Region, SUM(Revenue) FROM Sales GROUP BY Region;</w:t>
            </w:r>
          </w:p>
        </w:tc>
      </w:tr>
      <w:tr>
        <w:tc>
          <w:tcPr>
            <w:tcW w:type="dxa" w:w="3312"/>
            <w:vAlign w:val="center"/>
          </w:tcPr>
          <w:p>
            <w:r>
              <w:rPr>
                <w:rFonts w:ascii="Calibri" w:hAnsi="Calibri"/>
                <w:sz w:val="20"/>
              </w:rPr>
              <w:t>Materialized Views</w:t>
            </w:r>
          </w:p>
        </w:tc>
        <w:tc>
          <w:tcPr>
            <w:tcW w:type="dxa" w:w="3312"/>
            <w:vAlign w:val="center"/>
          </w:tcPr>
          <w:p>
            <w:r>
              <w:rPr>
                <w:rFonts w:ascii="Calibri" w:hAnsi="Calibri"/>
                <w:sz w:val="20"/>
              </w:rPr>
              <w:t>Precompute expensive query results for faster repeated use.</w:t>
            </w:r>
          </w:p>
        </w:tc>
        <w:tc>
          <w:tcPr>
            <w:tcW w:type="dxa" w:w="3312"/>
            <w:vAlign w:val="center"/>
          </w:tcPr>
          <w:p>
            <w:r>
              <w:rPr>
                <w:rFonts w:ascii="Calibri" w:hAnsi="Calibri"/>
                <w:sz w:val="20"/>
              </w:rPr>
              <w:t>CREATE MATERIALIZED VIEW MonthlyRevenue AS ...;</w:t>
            </w:r>
          </w:p>
        </w:tc>
      </w:tr>
      <w:tr>
        <w:tc>
          <w:tcPr>
            <w:tcW w:type="dxa" w:w="3312"/>
            <w:vAlign w:val="center"/>
          </w:tcPr>
          <w:p>
            <w:r>
              <w:rPr>
                <w:rFonts w:ascii="Calibri" w:hAnsi="Calibri"/>
                <w:sz w:val="20"/>
              </w:rPr>
              <w:t>Merge / Upsert</w:t>
            </w:r>
          </w:p>
        </w:tc>
        <w:tc>
          <w:tcPr>
            <w:tcW w:type="dxa" w:w="3312"/>
            <w:vAlign w:val="center"/>
          </w:tcPr>
          <w:p>
            <w:r>
              <w:rPr>
                <w:rFonts w:ascii="Calibri" w:hAnsi="Calibri"/>
                <w:sz w:val="20"/>
              </w:rPr>
              <w:t>Apply incremental changes into target tables.</w:t>
            </w:r>
          </w:p>
        </w:tc>
        <w:tc>
          <w:tcPr>
            <w:tcW w:type="dxa" w:w="3312"/>
            <w:vAlign w:val="center"/>
          </w:tcPr>
          <w:p>
            <w:r>
              <w:rPr>
                <w:rFonts w:ascii="Calibri" w:hAnsi="Calibri"/>
                <w:sz w:val="20"/>
              </w:rPr>
              <w:t>MERGE INTO target USING source ...</w:t>
            </w:r>
          </w:p>
        </w:tc>
      </w:tr>
      <w:tr>
        <w:tc>
          <w:tcPr>
            <w:tcW w:type="dxa" w:w="3312"/>
            <w:vAlign w:val="center"/>
          </w:tcPr>
          <w:p>
            <w:r>
              <w:rPr>
                <w:rFonts w:ascii="Calibri" w:hAnsi="Calibri"/>
                <w:sz w:val="20"/>
              </w:rPr>
              <w:t>Validation Queries</w:t>
            </w:r>
          </w:p>
        </w:tc>
        <w:tc>
          <w:tcPr>
            <w:tcW w:type="dxa" w:w="3312"/>
            <w:vAlign w:val="center"/>
          </w:tcPr>
          <w:p>
            <w:r>
              <w:rPr>
                <w:rFonts w:ascii="Calibri" w:hAnsi="Calibri"/>
                <w:sz w:val="20"/>
              </w:rPr>
              <w:t>Check counts, duplicates, nulls, referential integrity.</w:t>
            </w:r>
          </w:p>
        </w:tc>
        <w:tc>
          <w:tcPr>
            <w:tcW w:type="dxa" w:w="3312"/>
            <w:vAlign w:val="center"/>
          </w:tcPr>
          <w:p>
            <w:r>
              <w:rPr>
                <w:rFonts w:ascii="Calibri" w:hAnsi="Calibri"/>
                <w:sz w:val="20"/>
              </w:rPr>
              <w:t>COUNT, HAVING duplicate keys, NOT EXISTS checks</w:t>
            </w:r>
          </w:p>
        </w:tc>
      </w:tr>
    </w:tbl>
    <w:p/>
    <w:p>
      <w:pPr>
        <w:pStyle w:val="Heading1"/>
      </w:pPr>
      <w:r>
        <w:t>12. Example Batch ETL / ELT Flow</w:t>
      </w:r>
    </w:p>
    <w:p>
      <w:pPr>
        <w:ind w:left="360" w:right="360"/>
        <w:shd w:fill="F3F5F7"/>
      </w:pPr>
      <w:r>
        <w:rPr>
          <w:rFonts w:ascii="Courier New" w:hAnsi="Courier New"/>
          <w:sz w:val="18"/>
        </w:rPr>
        <w:t>```mermaid</w:t>
      </w:r>
    </w:p>
    <w:p>
      <w:pPr>
        <w:ind w:left="360" w:right="360"/>
        <w:shd w:fill="F3F5F7"/>
      </w:pPr>
      <w:r>
        <w:rPr>
          <w:rFonts w:ascii="Courier New" w:hAnsi="Courier New"/>
          <w:sz w:val="18"/>
        </w:rPr>
        <w:t>flowchart LR</w:t>
      </w:r>
    </w:p>
    <w:p>
      <w:pPr>
        <w:ind w:left="360" w:right="360"/>
        <w:shd w:fill="F3F5F7"/>
      </w:pPr>
      <w:r>
        <w:rPr>
          <w:rFonts w:ascii="Courier New" w:hAnsi="Courier New"/>
          <w:sz w:val="18"/>
        </w:rPr>
        <w:t xml:space="preserve">    A[Orders Source DB] --&gt; B[Incremental Extract]</w:t>
      </w:r>
    </w:p>
    <w:p>
      <w:pPr>
        <w:ind w:left="360" w:right="360"/>
        <w:shd w:fill="F3F5F7"/>
      </w:pPr>
      <w:r>
        <w:rPr>
          <w:rFonts w:ascii="Courier New" w:hAnsi="Courier New"/>
          <w:sz w:val="18"/>
        </w:rPr>
        <w:t xml:space="preserve">    B --&gt; C[Stage Orders]</w:t>
      </w:r>
    </w:p>
    <w:p>
      <w:pPr>
        <w:ind w:left="360" w:right="360"/>
        <w:shd w:fill="F3F5F7"/>
      </w:pPr>
      <w:r>
        <w:rPr>
          <w:rFonts w:ascii="Courier New" w:hAnsi="Courier New"/>
          <w:sz w:val="18"/>
        </w:rPr>
        <w:t xml:space="preserve">    C --&gt; D[Data Quality Validation]</w:t>
      </w:r>
    </w:p>
    <w:p>
      <w:pPr>
        <w:ind w:left="360" w:right="360"/>
        <w:shd w:fill="F3F5F7"/>
      </w:pPr>
      <w:r>
        <w:rPr>
          <w:rFonts w:ascii="Courier New" w:hAnsi="Courier New"/>
          <w:sz w:val="18"/>
        </w:rPr>
        <w:t xml:space="preserve">    D --&gt; E[Transform and Enrich]</w:t>
      </w:r>
    </w:p>
    <w:p>
      <w:pPr>
        <w:ind w:left="360" w:right="360"/>
        <w:shd w:fill="F3F5F7"/>
      </w:pPr>
      <w:r>
        <w:rPr>
          <w:rFonts w:ascii="Courier New" w:hAnsi="Courier New"/>
          <w:sz w:val="18"/>
        </w:rPr>
        <w:t xml:space="preserve">    E --&gt; F[Merge Into Fact and Dimensions]</w:t>
      </w:r>
    </w:p>
    <w:p>
      <w:pPr>
        <w:ind w:left="360" w:right="360"/>
        <w:shd w:fill="F3F5F7"/>
      </w:pPr>
      <w:r>
        <w:rPr>
          <w:rFonts w:ascii="Courier New" w:hAnsi="Courier New"/>
          <w:sz w:val="18"/>
        </w:rPr>
        <w:t xml:space="preserve">    F --&gt; G[Analytics Marts]</w:t>
      </w:r>
    </w:p>
    <w:p>
      <w:pPr>
        <w:ind w:left="360" w:right="360"/>
        <w:shd w:fill="F3F5F7"/>
      </w:pPr>
      <w:r>
        <w:rPr>
          <w:rFonts w:ascii="Courier New" w:hAnsi="Courier New"/>
          <w:sz w:val="18"/>
        </w:rPr>
        <w:t xml:space="preserve">    D --&gt; H[Reject / Quarantine]</w:t>
      </w:r>
    </w:p>
    <w:p>
      <w:pPr>
        <w:ind w:left="360" w:right="360"/>
        <w:shd w:fill="F3F5F7"/>
      </w:pPr>
      <w:r>
        <w:rPr>
          <w:rFonts w:ascii="Courier New" w:hAnsi="Courier New"/>
          <w:sz w:val="18"/>
        </w:rPr>
        <w:t xml:space="preserve">    F --&gt; I[Audit Metrics / Logs]</w:t>
      </w:r>
    </w:p>
    <w:p>
      <w:pPr>
        <w:ind w:left="360" w:right="360"/>
        <w:shd w:fill="F3F5F7"/>
      </w:pPr>
      <w:r>
        <w:rPr>
          <w:rFonts w:ascii="Courier New" w:hAnsi="Courier New"/>
          <w:sz w:val="18"/>
        </w:rPr>
        <w:t>```</w:t>
      </w:r>
    </w:p>
    <w:p>
      <w:pPr>
        <w:pStyle w:val="ListNumber"/>
      </w:pPr>
      <w:r>
        <w:t>Extract new and updated rows based on a watermark or CDC stream.</w:t>
      </w:r>
    </w:p>
    <w:p>
      <w:pPr>
        <w:pStyle w:val="ListNumber"/>
      </w:pPr>
      <w:r>
        <w:t>Stage the incoming rows with source metadata and batch information.</w:t>
      </w:r>
    </w:p>
    <w:p>
      <w:pPr>
        <w:pStyle w:val="ListNumber"/>
      </w:pPr>
      <w:r>
        <w:t>Validate duplicates, null business keys, and invalid measures.</w:t>
      </w:r>
    </w:p>
    <w:p>
      <w:pPr>
        <w:pStyle w:val="ListNumber"/>
      </w:pPr>
      <w:r>
        <w:t>Standardize timestamps, currencies, codes, and reference attributes.</w:t>
      </w:r>
    </w:p>
    <w:p>
      <w:pPr>
        <w:pStyle w:val="ListNumber"/>
      </w:pPr>
      <w:r>
        <w:t>Merge dimensions and then load facts at the correct grain.</w:t>
      </w:r>
    </w:p>
    <w:p>
      <w:pPr>
        <w:pStyle w:val="ListNumber"/>
      </w:pPr>
      <w:r>
        <w:t>Record row counts, rejects, runtime, and freshness.</w:t>
      </w:r>
    </w:p>
    <w:p>
      <w:pPr>
        <w:pStyle w:val="Heading1"/>
      </w:pPr>
      <w:r>
        <w:t>13. Real-Time Streaming ETL / ELT Preview</w:t>
      </w:r>
    </w:p>
    <w:p>
      <w:r>
        <w:t>Although Day 3 goes deeper into pipeline architecture, Day 2 can preview streaming ETL/ELT because many modern warehouses blend batch and streaming.</w:t>
      </w:r>
    </w:p>
    <w:p>
      <w:pPr>
        <w:ind w:left="360" w:right="360"/>
        <w:shd w:fill="F3F5F7"/>
      </w:pPr>
      <w:r>
        <w:rPr>
          <w:rFonts w:ascii="Courier New" w:hAnsi="Courier New"/>
          <w:sz w:val="18"/>
        </w:rPr>
        <w:t>```mermaid</w:t>
      </w:r>
    </w:p>
    <w:p>
      <w:pPr>
        <w:ind w:left="360" w:right="360"/>
        <w:shd w:fill="F3F5F7"/>
      </w:pPr>
      <w:r>
        <w:rPr>
          <w:rFonts w:ascii="Courier New" w:hAnsi="Courier New"/>
          <w:sz w:val="18"/>
        </w:rPr>
        <w:t>flowchart LR</w:t>
      </w:r>
    </w:p>
    <w:p>
      <w:pPr>
        <w:ind w:left="360" w:right="360"/>
        <w:shd w:fill="F3F5F7"/>
      </w:pPr>
      <w:r>
        <w:rPr>
          <w:rFonts w:ascii="Courier New" w:hAnsi="Courier New"/>
          <w:sz w:val="18"/>
        </w:rPr>
        <w:t xml:space="preserve">    A[App / Website / IoT] --&gt; B[Event Broker]</w:t>
      </w:r>
    </w:p>
    <w:p>
      <w:pPr>
        <w:ind w:left="360" w:right="360"/>
        <w:shd w:fill="F3F5F7"/>
      </w:pPr>
      <w:r>
        <w:rPr>
          <w:rFonts w:ascii="Courier New" w:hAnsi="Courier New"/>
          <w:sz w:val="18"/>
        </w:rPr>
        <w:t xml:space="preserve">    B --&gt; C[Stream Processing</w:t>
      </w:r>
    </w:p>
    <w:p>
      <w:pPr>
        <w:ind w:left="360" w:right="360"/>
        <w:shd w:fill="F3F5F7"/>
      </w:pPr>
      <w:r>
        <w:rPr>
          <w:rFonts w:ascii="Courier New" w:hAnsi="Courier New"/>
          <w:sz w:val="18"/>
        </w:rPr>
        <w:t>Validation, Enrichment, Windowing]</w:t>
      </w:r>
    </w:p>
    <w:p>
      <w:pPr>
        <w:ind w:left="360" w:right="360"/>
        <w:shd w:fill="F3F5F7"/>
      </w:pPr>
      <w:r>
        <w:rPr>
          <w:rFonts w:ascii="Courier New" w:hAnsi="Courier New"/>
          <w:sz w:val="18"/>
        </w:rPr>
        <w:t xml:space="preserve">    C --&gt; D[Lakehouse Raw Events]</w:t>
      </w:r>
    </w:p>
    <w:p>
      <w:pPr>
        <w:ind w:left="360" w:right="360"/>
        <w:shd w:fill="F3F5F7"/>
      </w:pPr>
      <w:r>
        <w:rPr>
          <w:rFonts w:ascii="Courier New" w:hAnsi="Courier New"/>
          <w:sz w:val="18"/>
        </w:rPr>
        <w:t xml:space="preserve">    D --&gt; E[Curated Near Real-Time Models]</w:t>
      </w:r>
    </w:p>
    <w:p>
      <w:pPr>
        <w:ind w:left="360" w:right="360"/>
        <w:shd w:fill="F3F5F7"/>
      </w:pPr>
      <w:r>
        <w:rPr>
          <w:rFonts w:ascii="Courier New" w:hAnsi="Courier New"/>
          <w:sz w:val="18"/>
        </w:rPr>
        <w:t xml:space="preserve">    E --&gt; F[Dashboards / Alerts / ML]</w:t>
      </w:r>
    </w:p>
    <w:p>
      <w:pPr>
        <w:ind w:left="360" w:right="360"/>
        <w:shd w:fill="F3F5F7"/>
      </w:pPr>
      <w:r>
        <w:rPr>
          <w:rFonts w:ascii="Courier New" w:hAnsi="Courier New"/>
          <w:sz w:val="18"/>
        </w:rPr>
        <w:t xml:space="preserve">    C --&gt; G[Dead Letter Queue]</w:t>
      </w:r>
    </w:p>
    <w:p>
      <w:pPr>
        <w:ind w:left="360" w:right="360"/>
        <w:shd w:fill="F3F5F7"/>
      </w:pPr>
      <w:r>
        <w:rPr>
          <w:rFonts w:ascii="Courier New" w:hAnsi="Courier New"/>
          <w:sz w:val="18"/>
        </w:rPr>
        <w:t>```</w:t>
      </w:r>
    </w:p>
    <w:p>
      <w:pPr>
        <w:pStyle w:val="ListBullet"/>
      </w:pPr>
      <w:r>
        <w:t>Event order and late arrival matter in streaming contexts.</w:t>
      </w:r>
    </w:p>
    <w:p>
      <w:pPr>
        <w:pStyle w:val="ListBullet"/>
      </w:pPr>
      <w:r>
        <w:t>Schema evolution must be controlled, often with a schema registry or contract model.</w:t>
      </w:r>
    </w:p>
    <w:p>
      <w:pPr>
        <w:pStyle w:val="ListBullet"/>
      </w:pPr>
      <w:r>
        <w:t>Streaming can complement batch rather than fully replacing it.</w:t>
      </w:r>
    </w:p>
    <w:p>
      <w:pPr>
        <w:pStyle w:val="Heading1"/>
      </w:pPr>
      <w:r>
        <w:t>14. Day 2 Hands-On Exercises</w:t>
      </w:r>
    </w:p>
    <w:p>
      <w:pPr>
        <w:pStyle w:val="ListNumber"/>
      </w:pPr>
      <w:r>
        <w:t>Model a sales or bookings process at the correct grain.</w:t>
      </w:r>
    </w:p>
    <w:p>
      <w:pPr>
        <w:pStyle w:val="ListNumber"/>
      </w:pPr>
      <w:r>
        <w:t>Design a fact table and at least four dimensions.</w:t>
      </w:r>
    </w:p>
    <w:p>
      <w:pPr>
        <w:pStyle w:val="ListNumber"/>
      </w:pPr>
      <w:r>
        <w:t>Choose between star and snowflake for a given business case and justify the choice.</w:t>
      </w:r>
    </w:p>
    <w:p>
      <w:pPr>
        <w:pStyle w:val="ListNumber"/>
      </w:pPr>
      <w:r>
        <w:t>Write an incremental extraction query using an updated_at watermark.</w:t>
      </w:r>
    </w:p>
    <w:p>
      <w:pPr>
        <w:pStyle w:val="ListNumber"/>
      </w:pPr>
      <w:r>
        <w:t>Design and explain an SCD Type 2 dimension for customer or product history.</w:t>
      </w:r>
    </w:p>
    <w:p>
      <w:pPr>
        <w:pStyle w:val="ListNumber"/>
      </w:pPr>
      <w:r>
        <w:t>Write a MERGE statement or pseudocode for an incremental warehouse load.</w:t>
      </w:r>
    </w:p>
    <w:p>
      <w:pPr>
        <w:pStyle w:val="ListNumber"/>
      </w:pPr>
      <w:r>
        <w:t>Compare full load and incremental load for three different source systems.</w:t>
      </w:r>
    </w:p>
    <w:p>
      <w:pPr>
        <w:pStyle w:val="ListNumber"/>
      </w:pPr>
      <w:r>
        <w:t>Design a quarantine strategy for failed validations.</w:t>
      </w:r>
    </w:p>
    <w:p>
      <w:pPr>
        <w:pStyle w:val="Heading1"/>
      </w:pPr>
      <w:r>
        <w:t>15. Trainer Guidance</w:t>
      </w:r>
    </w:p>
    <w:p>
      <w:pPr>
        <w:pStyle w:val="ListBullet"/>
      </w:pPr>
      <w:r>
        <w:t>Use realistic datasets such as retail orders or airline bookings so grain, dimensions, and SCDs feel real.</w:t>
      </w:r>
    </w:p>
    <w:p>
      <w:pPr>
        <w:pStyle w:val="ListBullet"/>
      </w:pPr>
      <w:r>
        <w:t>Continuously ask learners to state the fact grain explicitly before writing SQL or designing schemas.</w:t>
      </w:r>
    </w:p>
    <w:p>
      <w:pPr>
        <w:pStyle w:val="ListBullet"/>
      </w:pPr>
      <w:r>
        <w:t>Differentiate classroom examples from full production implementations, especially for CDC and SCD logic.</w:t>
      </w:r>
    </w:p>
    <w:p>
      <w:pPr>
        <w:pStyle w:val="ListBullet"/>
      </w:pPr>
      <w:r>
        <w:t>Keep connecting ETL/ELT choices back to platform capability, cost, governance, and future flexibility.</w:t>
      </w:r>
    </w:p>
    <w:p>
      <w:pPr>
        <w:pStyle w:val="ListBullet"/>
      </w:pPr>
      <w:r>
        <w:t>Use diagrams and SQL together so learners understand both architecture and implementation.</w:t>
      </w:r>
    </w:p>
    <w:p>
      <w:pPr>
        <w:pStyle w:val="Heading1"/>
      </w:pPr>
      <w:r>
        <w:t>16. Day 2 Key Takeaways</w:t>
      </w:r>
    </w:p>
    <w:p>
      <w:pPr>
        <w:pStyle w:val="ListBullet"/>
      </w:pPr>
      <w:r>
        <w:t>Warehousing organizes historical data for reliable analytics and governed reporting.</w:t>
      </w:r>
    </w:p>
    <w:p>
      <w:pPr>
        <w:pStyle w:val="ListBullet"/>
      </w:pPr>
      <w:r>
        <w:t>Dimensional modeling depends on facts, dimensions, and—most importantly—clear grain.</w:t>
      </w:r>
    </w:p>
    <w:p>
      <w:pPr>
        <w:pStyle w:val="ListBullet"/>
      </w:pPr>
      <w:r>
        <w:t>Star and snowflake schemas are design choices with trade-offs in simplicity and normalization.</w:t>
      </w:r>
    </w:p>
    <w:p>
      <w:pPr>
        <w:pStyle w:val="ListBullet"/>
      </w:pPr>
      <w:r>
        <w:t>SCD strategies determine how history is preserved in dimensions.</w:t>
      </w:r>
    </w:p>
    <w:p>
      <w:pPr>
        <w:pStyle w:val="ListBullet"/>
      </w:pPr>
      <w:r>
        <w:t>ETL and ELT are both valid patterns, but ELT is especially common in modern cloud platforms.</w:t>
      </w:r>
    </w:p>
    <w:p>
      <w:pPr>
        <w:pStyle w:val="ListBullet"/>
      </w:pPr>
      <w:r>
        <w:t>Loading strategy choices such as full load, incremental load, and CDC drive performance, complexity, and recoverability.</w:t>
      </w:r>
    </w:p>
    <w:p>
      <w:pPr>
        <w:pStyle w:val="ListBullet"/>
      </w:pPr>
      <w:r>
        <w:t>SQL plays a central role in extraction, validation, transformation, aggregation, and incremental warehouse loading.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