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Data Engineering Foundations</w:t>
        <w:br/>
        <w:t>Day 3 Full Guide — Expanded Version</w:t>
      </w:r>
    </w:p>
    <w:p/>
    <w:p>
      <w:pPr>
        <w:jc w:val="center"/>
      </w:pPr>
      <w:r>
        <w:rPr>
          <w:i/>
          <w:sz w:val="26"/>
        </w:rPr>
        <w:t>Designing Robust Data Pipelines, Modern Architecture, and Data Governance</w:t>
      </w:r>
    </w:p>
    <w:p/>
    <w:p>
      <w:pPr>
        <w:jc w:val="center"/>
      </w:pPr>
      <w:r>
        <w:rPr>
          <w:sz w:val="22"/>
        </w:rPr>
        <w:t>Expanded with robustness patterns, operational controls, governance frameworks, distributed processing guidance, and detailed implementation notes.</w:t>
      </w:r>
    </w:p>
    <w:p>
      <w:r>
        <w:br w:type="page"/>
      </w:r>
    </w:p>
    <w:p>
      <w:pPr>
        <w:pStyle w:val="Heading1"/>
      </w:pPr>
      <w:r>
        <w:t>1. Day 3 Purpose and Learning Outcomes</w:t>
      </w:r>
    </w:p>
    <w:p>
      <w:r>
        <w:t>Day 3 focuses on operating data systems reliably at scale. The emphasis shifts from moving and modeling data to designing robust pipelines, orchestrating dependencies, monitoring health, handling failures, understanding cloud-native architecture, introducing distributed processing, and applying governance, security, and compliance practices.</w:t>
      </w:r>
    </w:p>
    <w:p>
      <w:pPr>
        <w:pStyle w:val="ListBullet"/>
      </w:pPr>
      <w:r>
        <w:t>Design robust batch and streaming pipelines with production-ready controls.</w:t>
      </w:r>
    </w:p>
    <w:p>
      <w:pPr>
        <w:pStyle w:val="ListBullet"/>
      </w:pPr>
      <w:r>
        <w:t>Understand orchestration, scheduling, retries, and dependency management.</w:t>
      </w:r>
    </w:p>
    <w:p>
      <w:pPr>
        <w:pStyle w:val="ListBullet"/>
      </w:pPr>
      <w:r>
        <w:t>Implement logging, monitoring, alerting, and auditability patterns.</w:t>
      </w:r>
    </w:p>
    <w:p>
      <w:pPr>
        <w:pStyle w:val="ListBullet"/>
      </w:pPr>
      <w:r>
        <w:t>Understand cloud-native data platforms and modern architecture patterns.</w:t>
      </w:r>
    </w:p>
    <w:p>
      <w:pPr>
        <w:pStyle w:val="ListBullet"/>
      </w:pPr>
      <w:r>
        <w:t>Understand distributed computing concepts and when they matter.</w:t>
      </w:r>
    </w:p>
    <w:p>
      <w:pPr>
        <w:pStyle w:val="ListBullet"/>
      </w:pPr>
      <w:r>
        <w:t>Apply governance, privacy, security, and compliance controls to data systems.</w:t>
      </w:r>
    </w:p>
    <w:p>
      <w:pPr>
        <w:pStyle w:val="ListBullet"/>
      </w:pPr>
      <w:r>
        <w:t>Connect architecture decisions to business reliability, cost, and risk.</w:t>
      </w:r>
    </w:p>
    <w:p>
      <w:pPr>
        <w:pStyle w:val="Heading1"/>
      </w:pPr>
      <w:r>
        <w:t>2. Concept → Description → Example / Tool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Concept</w:t>
            </w:r>
          </w:p>
        </w:tc>
        <w:tc>
          <w:tcPr>
            <w:tcW w:type="dxa" w:w="3312"/>
            <w:vAlign w:val="center"/>
            <w:shd w:fill="D9E2F3"/>
          </w:tcPr>
          <w:p>
            <w:r>
              <w:rPr>
                <w:rFonts w:ascii="Calibri" w:hAnsi="Calibri"/>
                <w:b/>
                <w:sz w:val="20"/>
              </w:rPr>
              <w:t>Description</w:t>
            </w:r>
          </w:p>
        </w:tc>
        <w:tc>
          <w:tcPr>
            <w:tcW w:type="dxa" w:w="3312"/>
            <w:vAlign w:val="center"/>
            <w:shd w:fill="D9E2F3"/>
          </w:tcPr>
          <w:p>
            <w:r>
              <w:rPr>
                <w:rFonts w:ascii="Calibri" w:hAnsi="Calibri"/>
                <w:b/>
                <w:sz w:val="20"/>
              </w:rPr>
              <w:t>Example / Tool</w:t>
            </w:r>
          </w:p>
        </w:tc>
      </w:tr>
      <w:tr>
        <w:tc>
          <w:tcPr>
            <w:tcW w:type="dxa" w:w="3312"/>
            <w:vAlign w:val="center"/>
          </w:tcPr>
          <w:p>
            <w:r>
              <w:rPr>
                <w:rFonts w:ascii="Calibri" w:hAnsi="Calibri"/>
                <w:sz w:val="20"/>
              </w:rPr>
              <w:t>Orchestration</w:t>
            </w:r>
          </w:p>
        </w:tc>
        <w:tc>
          <w:tcPr>
            <w:tcW w:type="dxa" w:w="3312"/>
            <w:vAlign w:val="center"/>
          </w:tcPr>
          <w:p>
            <w:r>
              <w:rPr>
                <w:rFonts w:ascii="Calibri" w:hAnsi="Calibri"/>
                <w:sz w:val="20"/>
              </w:rPr>
              <w:t>Control task order, dependencies, retries, and schedules.</w:t>
            </w:r>
          </w:p>
        </w:tc>
        <w:tc>
          <w:tcPr>
            <w:tcW w:type="dxa" w:w="3312"/>
            <w:vAlign w:val="center"/>
          </w:tcPr>
          <w:p>
            <w:r>
              <w:rPr>
                <w:rFonts w:ascii="Calibri" w:hAnsi="Calibri"/>
                <w:sz w:val="20"/>
              </w:rPr>
              <w:t>Fabric Data Pipeline, Airflow, Prefect</w:t>
            </w:r>
          </w:p>
        </w:tc>
      </w:tr>
      <w:tr>
        <w:tc>
          <w:tcPr>
            <w:tcW w:type="dxa" w:w="3312"/>
            <w:vAlign w:val="center"/>
          </w:tcPr>
          <w:p>
            <w:r>
              <w:rPr>
                <w:rFonts w:ascii="Calibri" w:hAnsi="Calibri"/>
                <w:sz w:val="20"/>
              </w:rPr>
              <w:t>Observability</w:t>
            </w:r>
          </w:p>
        </w:tc>
        <w:tc>
          <w:tcPr>
            <w:tcW w:type="dxa" w:w="3312"/>
            <w:vAlign w:val="center"/>
          </w:tcPr>
          <w:p>
            <w:r>
              <w:rPr>
                <w:rFonts w:ascii="Calibri" w:hAnsi="Calibri"/>
                <w:sz w:val="20"/>
              </w:rPr>
              <w:t>Track health, freshness, throughput, cost signals, and error rates.</w:t>
            </w:r>
          </w:p>
        </w:tc>
        <w:tc>
          <w:tcPr>
            <w:tcW w:type="dxa" w:w="3312"/>
            <w:vAlign w:val="center"/>
          </w:tcPr>
          <w:p>
            <w:r>
              <w:rPr>
                <w:rFonts w:ascii="Calibri" w:hAnsi="Calibri"/>
                <w:sz w:val="20"/>
              </w:rPr>
              <w:t>Fabric Monitoring Hub, Log Analytics, alert rules</w:t>
            </w:r>
          </w:p>
        </w:tc>
      </w:tr>
      <w:tr>
        <w:tc>
          <w:tcPr>
            <w:tcW w:type="dxa" w:w="3312"/>
            <w:vAlign w:val="center"/>
          </w:tcPr>
          <w:p>
            <w:r>
              <w:rPr>
                <w:rFonts w:ascii="Calibri" w:hAnsi="Calibri"/>
                <w:sz w:val="20"/>
              </w:rPr>
              <w:t>Logging</w:t>
            </w:r>
          </w:p>
        </w:tc>
        <w:tc>
          <w:tcPr>
            <w:tcW w:type="dxa" w:w="3312"/>
            <w:vAlign w:val="center"/>
          </w:tcPr>
          <w:p>
            <w:r>
              <w:rPr>
                <w:rFonts w:ascii="Calibri" w:hAnsi="Calibri"/>
                <w:sz w:val="20"/>
              </w:rPr>
              <w:t>Capture structured records of pipeline runs, tasks, and failure context.</w:t>
            </w:r>
          </w:p>
        </w:tc>
        <w:tc>
          <w:tcPr>
            <w:tcW w:type="dxa" w:w="3312"/>
            <w:vAlign w:val="center"/>
          </w:tcPr>
          <w:p>
            <w:r>
              <w:rPr>
                <w:rFonts w:ascii="Calibri" w:hAnsi="Calibri"/>
                <w:sz w:val="20"/>
              </w:rPr>
              <w:t>Audit tables, centralized logs, workspace logs</w:t>
            </w:r>
          </w:p>
        </w:tc>
      </w:tr>
      <w:tr>
        <w:tc>
          <w:tcPr>
            <w:tcW w:type="dxa" w:w="3312"/>
            <w:vAlign w:val="center"/>
          </w:tcPr>
          <w:p>
            <w:r>
              <w:rPr>
                <w:rFonts w:ascii="Calibri" w:hAnsi="Calibri"/>
                <w:sz w:val="20"/>
              </w:rPr>
              <w:t>Error Handling</w:t>
            </w:r>
          </w:p>
        </w:tc>
        <w:tc>
          <w:tcPr>
            <w:tcW w:type="dxa" w:w="3312"/>
            <w:vAlign w:val="center"/>
          </w:tcPr>
          <w:p>
            <w:r>
              <w:rPr>
                <w:rFonts w:ascii="Calibri" w:hAnsi="Calibri"/>
                <w:sz w:val="20"/>
              </w:rPr>
              <w:t>Define how recoverable and non-recoverable failures are managed.</w:t>
            </w:r>
          </w:p>
        </w:tc>
        <w:tc>
          <w:tcPr>
            <w:tcW w:type="dxa" w:w="3312"/>
            <w:vAlign w:val="center"/>
          </w:tcPr>
          <w:p>
            <w:r>
              <w:rPr>
                <w:rFonts w:ascii="Calibri" w:hAnsi="Calibri"/>
                <w:sz w:val="20"/>
              </w:rPr>
              <w:t>Retry logic, dead-letter queues, quarantine tables</w:t>
            </w:r>
          </w:p>
        </w:tc>
      </w:tr>
      <w:tr>
        <w:tc>
          <w:tcPr>
            <w:tcW w:type="dxa" w:w="3312"/>
            <w:vAlign w:val="center"/>
          </w:tcPr>
          <w:p>
            <w:r>
              <w:rPr>
                <w:rFonts w:ascii="Calibri" w:hAnsi="Calibri"/>
                <w:sz w:val="20"/>
              </w:rPr>
              <w:t>Distributed Processing</w:t>
            </w:r>
          </w:p>
        </w:tc>
        <w:tc>
          <w:tcPr>
            <w:tcW w:type="dxa" w:w="3312"/>
            <w:vAlign w:val="center"/>
          </w:tcPr>
          <w:p>
            <w:r>
              <w:rPr>
                <w:rFonts w:ascii="Calibri" w:hAnsi="Calibri"/>
                <w:sz w:val="20"/>
              </w:rPr>
              <w:t>Parallelize large-scale transformations across nodes or partitions.</w:t>
            </w:r>
          </w:p>
        </w:tc>
        <w:tc>
          <w:tcPr>
            <w:tcW w:type="dxa" w:w="3312"/>
            <w:vAlign w:val="center"/>
          </w:tcPr>
          <w:p>
            <w:r>
              <w:rPr>
                <w:rFonts w:ascii="Calibri" w:hAnsi="Calibri"/>
                <w:sz w:val="20"/>
              </w:rPr>
              <w:t>Spark, distributed SQL engines</w:t>
            </w:r>
          </w:p>
        </w:tc>
      </w:tr>
      <w:tr>
        <w:tc>
          <w:tcPr>
            <w:tcW w:type="dxa" w:w="3312"/>
            <w:vAlign w:val="center"/>
          </w:tcPr>
          <w:p>
            <w:r>
              <w:rPr>
                <w:rFonts w:ascii="Calibri" w:hAnsi="Calibri"/>
                <w:sz w:val="20"/>
              </w:rPr>
              <w:t>Cloud-Native Warehouse</w:t>
            </w:r>
          </w:p>
        </w:tc>
        <w:tc>
          <w:tcPr>
            <w:tcW w:type="dxa" w:w="3312"/>
            <w:vAlign w:val="center"/>
          </w:tcPr>
          <w:p>
            <w:r>
              <w:rPr>
                <w:rFonts w:ascii="Calibri" w:hAnsi="Calibri"/>
                <w:sz w:val="20"/>
              </w:rPr>
              <w:t>Elastic analytics architecture with managed storage and compute.</w:t>
            </w:r>
          </w:p>
        </w:tc>
        <w:tc>
          <w:tcPr>
            <w:tcW w:type="dxa" w:w="3312"/>
            <w:vAlign w:val="center"/>
          </w:tcPr>
          <w:p>
            <w:r>
              <w:rPr>
                <w:rFonts w:ascii="Calibri" w:hAnsi="Calibri"/>
                <w:sz w:val="20"/>
              </w:rPr>
              <w:t>Fabric Warehouse, Snowflake, BigQuery</w:t>
            </w:r>
          </w:p>
        </w:tc>
      </w:tr>
      <w:tr>
        <w:tc>
          <w:tcPr>
            <w:tcW w:type="dxa" w:w="3312"/>
            <w:vAlign w:val="center"/>
          </w:tcPr>
          <w:p>
            <w:r>
              <w:rPr>
                <w:rFonts w:ascii="Calibri" w:hAnsi="Calibri"/>
                <w:sz w:val="20"/>
              </w:rPr>
              <w:t>Data Governance</w:t>
            </w:r>
          </w:p>
        </w:tc>
        <w:tc>
          <w:tcPr>
            <w:tcW w:type="dxa" w:w="3312"/>
            <w:vAlign w:val="center"/>
          </w:tcPr>
          <w:p>
            <w:r>
              <w:rPr>
                <w:rFonts w:ascii="Calibri" w:hAnsi="Calibri"/>
                <w:sz w:val="20"/>
              </w:rPr>
              <w:t>Policies, metadata, ownership, controls, and compliance for trusted data use.</w:t>
            </w:r>
          </w:p>
        </w:tc>
        <w:tc>
          <w:tcPr>
            <w:tcW w:type="dxa" w:w="3312"/>
            <w:vAlign w:val="center"/>
          </w:tcPr>
          <w:p>
            <w:r>
              <w:rPr>
                <w:rFonts w:ascii="Calibri" w:hAnsi="Calibri"/>
                <w:sz w:val="20"/>
              </w:rPr>
              <w:t>Catalogs, stewardship, lineage, glossary</w:t>
            </w:r>
          </w:p>
        </w:tc>
      </w:tr>
      <w:tr>
        <w:tc>
          <w:tcPr>
            <w:tcW w:type="dxa" w:w="3312"/>
            <w:vAlign w:val="center"/>
          </w:tcPr>
          <w:p>
            <w:r>
              <w:rPr>
                <w:rFonts w:ascii="Calibri" w:hAnsi="Calibri"/>
                <w:sz w:val="20"/>
              </w:rPr>
              <w:t>Security</w:t>
            </w:r>
          </w:p>
        </w:tc>
        <w:tc>
          <w:tcPr>
            <w:tcW w:type="dxa" w:w="3312"/>
            <w:vAlign w:val="center"/>
          </w:tcPr>
          <w:p>
            <w:r>
              <w:rPr>
                <w:rFonts w:ascii="Calibri" w:hAnsi="Calibri"/>
                <w:sz w:val="20"/>
              </w:rPr>
              <w:t>Protect data through permissions, masking, encryption, and secret management.</w:t>
            </w:r>
          </w:p>
        </w:tc>
        <w:tc>
          <w:tcPr>
            <w:tcW w:type="dxa" w:w="3312"/>
            <w:vAlign w:val="center"/>
          </w:tcPr>
          <w:p>
            <w:r>
              <w:rPr>
                <w:rFonts w:ascii="Calibri" w:hAnsi="Calibri"/>
                <w:sz w:val="20"/>
              </w:rPr>
              <w:t>RBAC, RLS, masking policies, key vault</w:t>
            </w:r>
          </w:p>
        </w:tc>
      </w:tr>
      <w:tr>
        <w:tc>
          <w:tcPr>
            <w:tcW w:type="dxa" w:w="3312"/>
            <w:vAlign w:val="center"/>
          </w:tcPr>
          <w:p>
            <w:r>
              <w:rPr>
                <w:rFonts w:ascii="Calibri" w:hAnsi="Calibri"/>
                <w:sz w:val="20"/>
              </w:rPr>
              <w:t>Compliance</w:t>
            </w:r>
          </w:p>
        </w:tc>
        <w:tc>
          <w:tcPr>
            <w:tcW w:type="dxa" w:w="3312"/>
            <w:vAlign w:val="center"/>
          </w:tcPr>
          <w:p>
            <w:r>
              <w:rPr>
                <w:rFonts w:ascii="Calibri" w:hAnsi="Calibri"/>
                <w:sz w:val="20"/>
              </w:rPr>
              <w:t>Apply privacy and regulatory obligations to data processing.</w:t>
            </w:r>
          </w:p>
        </w:tc>
        <w:tc>
          <w:tcPr>
            <w:tcW w:type="dxa" w:w="3312"/>
            <w:vAlign w:val="center"/>
          </w:tcPr>
          <w:p>
            <w:r>
              <w:rPr>
                <w:rFonts w:ascii="Calibri" w:hAnsi="Calibri"/>
                <w:sz w:val="20"/>
              </w:rPr>
              <w:t>GDPR controls, retention schedules, audit logs</w:t>
            </w:r>
          </w:p>
        </w:tc>
      </w:tr>
      <w:tr>
        <w:tc>
          <w:tcPr>
            <w:tcW w:type="dxa" w:w="3312"/>
            <w:vAlign w:val="center"/>
          </w:tcPr>
          <w:p>
            <w:r>
              <w:rPr>
                <w:rFonts w:ascii="Calibri" w:hAnsi="Calibri"/>
                <w:sz w:val="20"/>
              </w:rPr>
              <w:t>Serving Layer</w:t>
            </w:r>
          </w:p>
        </w:tc>
        <w:tc>
          <w:tcPr>
            <w:tcW w:type="dxa" w:w="3312"/>
            <w:vAlign w:val="center"/>
          </w:tcPr>
          <w:p>
            <w:r>
              <w:rPr>
                <w:rFonts w:ascii="Calibri" w:hAnsi="Calibri"/>
                <w:sz w:val="20"/>
              </w:rPr>
              <w:t>Publish curated outputs for consumers.</w:t>
            </w:r>
          </w:p>
        </w:tc>
        <w:tc>
          <w:tcPr>
            <w:tcW w:type="dxa" w:w="3312"/>
            <w:vAlign w:val="center"/>
          </w:tcPr>
          <w:p>
            <w:r>
              <w:rPr>
                <w:rFonts w:ascii="Calibri" w:hAnsi="Calibri"/>
                <w:sz w:val="20"/>
              </w:rPr>
              <w:t>Marts, semantic models, reverse ETL, APIs</w:t>
            </w:r>
          </w:p>
        </w:tc>
      </w:tr>
    </w:tbl>
    <w:p/>
    <w:p>
      <w:pPr>
        <w:pStyle w:val="Heading1"/>
      </w:pPr>
      <w:r>
        <w:t>3. Designing Robust Data Pipelines</w:t>
      </w:r>
    </w:p>
    <w:p>
      <w:r>
        <w:t>A robust pipeline is one that can be trusted to operate repeatedly under real-world conditions. That means the pipeline must tolerate noise in source systems, changing data volume, occasional infrastructure instability, quality issues, and complex downstream dependencies. Robustness is achieved through thoughtful architecture and disciplined operations, not only through code.</w:t>
      </w:r>
    </w:p>
    <w:p>
      <w:pPr>
        <w:pStyle w:val="Heading2"/>
      </w:pPr>
      <w:r>
        <w:t>Qualities of a Robust Pipeline</w:t>
      </w:r>
    </w:p>
    <w:p>
      <w:pPr>
        <w:pStyle w:val="ListBullet"/>
      </w:pPr>
      <w:r>
        <w:t>Idempotent: reruns do not create duplicate or inconsistent outputs.</w:t>
      </w:r>
    </w:p>
    <w:p>
      <w:pPr>
        <w:pStyle w:val="ListBullet"/>
      </w:pPr>
      <w:r>
        <w:t>Observable: health, freshness, and throughput are measurable.</w:t>
      </w:r>
    </w:p>
    <w:p>
      <w:pPr>
        <w:pStyle w:val="ListBullet"/>
      </w:pPr>
      <w:r>
        <w:t>Recoverable: failures have known restart and replay procedures.</w:t>
      </w:r>
    </w:p>
    <w:p>
      <w:pPr>
        <w:pStyle w:val="ListBullet"/>
      </w:pPr>
      <w:r>
        <w:t>Scalable: increasing volume does not require full redesign.</w:t>
      </w:r>
    </w:p>
    <w:p>
      <w:pPr>
        <w:pStyle w:val="ListBullet"/>
      </w:pPr>
      <w:r>
        <w:t>Secure: sensitive data is protected in all layers.</w:t>
      </w:r>
    </w:p>
    <w:p>
      <w:pPr>
        <w:pStyle w:val="ListBullet"/>
      </w:pPr>
      <w:r>
        <w:t>Documented: lineage, owners, controls, and intended semantics are clear.</w:t>
      </w:r>
    </w:p>
    <w:p>
      <w:pPr>
        <w:pStyle w:val="Heading2"/>
      </w:pPr>
      <w:r>
        <w:t>Robustness Checklist</w:t>
      </w:r>
    </w:p>
    <w:p>
      <w:pPr>
        <w:pStyle w:val="ListNumber"/>
      </w:pPr>
      <w:r>
        <w:t>Can operators tell whether the last run succeeded?</w:t>
      </w:r>
    </w:p>
    <w:p>
      <w:pPr>
        <w:pStyle w:val="ListNumber"/>
      </w:pPr>
      <w:r>
        <w:t>Can the pipeline be rerun safely after a partial failure?</w:t>
      </w:r>
    </w:p>
    <w:p>
      <w:pPr>
        <w:pStyle w:val="ListNumber"/>
      </w:pPr>
      <w:r>
        <w:t>Are data quality failures separated from infrastructure failures?</w:t>
      </w:r>
    </w:p>
    <w:p>
      <w:pPr>
        <w:pStyle w:val="ListNumber"/>
      </w:pPr>
      <w:r>
        <w:t>Can the pipeline support backfills without manual patching?</w:t>
      </w:r>
    </w:p>
    <w:p>
      <w:pPr>
        <w:pStyle w:val="ListNumber"/>
      </w:pPr>
      <w:r>
        <w:t>Are row counts and freshness visible to stakeholders?</w:t>
      </w:r>
    </w:p>
    <w:p>
      <w:pPr>
        <w:pStyle w:val="ListNumber"/>
      </w:pPr>
      <w:r>
        <w:t>Are access controls and audit controls applied before exposing data?</w:t>
      </w:r>
    </w:p>
    <w:p>
      <w:pPr>
        <w:pStyle w:val="Heading1"/>
      </w:pPr>
      <w:r>
        <w:t>4. Pipeline Architecture Patterns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Pattern</w:t>
            </w:r>
          </w:p>
        </w:tc>
        <w:tc>
          <w:tcPr>
            <w:tcW w:type="dxa" w:w="3312"/>
            <w:vAlign w:val="center"/>
            <w:shd w:fill="D9E2F3"/>
          </w:tcPr>
          <w:p>
            <w:r>
              <w:rPr>
                <w:rFonts w:ascii="Calibri" w:hAnsi="Calibri"/>
                <w:b/>
                <w:sz w:val="20"/>
              </w:rPr>
              <w:t>Description</w:t>
            </w:r>
          </w:p>
        </w:tc>
        <w:tc>
          <w:tcPr>
            <w:tcW w:type="dxa" w:w="3312"/>
            <w:vAlign w:val="center"/>
            <w:shd w:fill="D9E2F3"/>
          </w:tcPr>
          <w:p>
            <w:r>
              <w:rPr>
                <w:rFonts w:ascii="Calibri" w:hAnsi="Calibri"/>
                <w:b/>
                <w:sz w:val="20"/>
              </w:rPr>
              <w:t>When to Use</w:t>
            </w:r>
          </w:p>
        </w:tc>
      </w:tr>
      <w:tr>
        <w:tc>
          <w:tcPr>
            <w:tcW w:type="dxa" w:w="3312"/>
            <w:vAlign w:val="center"/>
          </w:tcPr>
          <w:p>
            <w:r>
              <w:rPr>
                <w:rFonts w:ascii="Calibri" w:hAnsi="Calibri"/>
                <w:sz w:val="20"/>
              </w:rPr>
              <w:t>Batch</w:t>
            </w:r>
          </w:p>
        </w:tc>
        <w:tc>
          <w:tcPr>
            <w:tcW w:type="dxa" w:w="3312"/>
            <w:vAlign w:val="center"/>
          </w:tcPr>
          <w:p>
            <w:r>
              <w:rPr>
                <w:rFonts w:ascii="Calibri" w:hAnsi="Calibri"/>
                <w:sz w:val="20"/>
              </w:rPr>
              <w:t>Run on schedules such as hourly or daily.</w:t>
            </w:r>
          </w:p>
        </w:tc>
        <w:tc>
          <w:tcPr>
            <w:tcW w:type="dxa" w:w="3312"/>
            <w:vAlign w:val="center"/>
          </w:tcPr>
          <w:p>
            <w:r>
              <w:rPr>
                <w:rFonts w:ascii="Calibri" w:hAnsi="Calibri"/>
                <w:sz w:val="20"/>
              </w:rPr>
              <w:t>Reporting, daily marts, controlled data refresh</w:t>
            </w:r>
          </w:p>
        </w:tc>
      </w:tr>
      <w:tr>
        <w:tc>
          <w:tcPr>
            <w:tcW w:type="dxa" w:w="3312"/>
            <w:vAlign w:val="center"/>
          </w:tcPr>
          <w:p>
            <w:r>
              <w:rPr>
                <w:rFonts w:ascii="Calibri" w:hAnsi="Calibri"/>
                <w:sz w:val="20"/>
              </w:rPr>
              <w:t>Micro-Batch</w:t>
            </w:r>
          </w:p>
        </w:tc>
        <w:tc>
          <w:tcPr>
            <w:tcW w:type="dxa" w:w="3312"/>
            <w:vAlign w:val="center"/>
          </w:tcPr>
          <w:p>
            <w:r>
              <w:rPr>
                <w:rFonts w:ascii="Calibri" w:hAnsi="Calibri"/>
                <w:sz w:val="20"/>
              </w:rPr>
              <w:t>Run frequent small batches.</w:t>
            </w:r>
          </w:p>
        </w:tc>
        <w:tc>
          <w:tcPr>
            <w:tcW w:type="dxa" w:w="3312"/>
            <w:vAlign w:val="center"/>
          </w:tcPr>
          <w:p>
            <w:r>
              <w:rPr>
                <w:rFonts w:ascii="Calibri" w:hAnsi="Calibri"/>
                <w:sz w:val="20"/>
              </w:rPr>
              <w:t>Near real-time dashboards</w:t>
            </w:r>
          </w:p>
        </w:tc>
      </w:tr>
      <w:tr>
        <w:tc>
          <w:tcPr>
            <w:tcW w:type="dxa" w:w="3312"/>
            <w:vAlign w:val="center"/>
          </w:tcPr>
          <w:p>
            <w:r>
              <w:rPr>
                <w:rFonts w:ascii="Calibri" w:hAnsi="Calibri"/>
                <w:sz w:val="20"/>
              </w:rPr>
              <w:t>Streaming</w:t>
            </w:r>
          </w:p>
        </w:tc>
        <w:tc>
          <w:tcPr>
            <w:tcW w:type="dxa" w:w="3312"/>
            <w:vAlign w:val="center"/>
          </w:tcPr>
          <w:p>
            <w:r>
              <w:rPr>
                <w:rFonts w:ascii="Calibri" w:hAnsi="Calibri"/>
                <w:sz w:val="20"/>
              </w:rPr>
              <w:t>Process events continuously.</w:t>
            </w:r>
          </w:p>
        </w:tc>
        <w:tc>
          <w:tcPr>
            <w:tcW w:type="dxa" w:w="3312"/>
            <w:vAlign w:val="center"/>
          </w:tcPr>
          <w:p>
            <w:r>
              <w:rPr>
                <w:rFonts w:ascii="Calibri" w:hAnsi="Calibri"/>
                <w:sz w:val="20"/>
              </w:rPr>
              <w:t>Operational alerts, clickstream, telemetry</w:t>
            </w:r>
          </w:p>
        </w:tc>
      </w:tr>
      <w:tr>
        <w:tc>
          <w:tcPr>
            <w:tcW w:type="dxa" w:w="3312"/>
            <w:vAlign w:val="center"/>
          </w:tcPr>
          <w:p>
            <w:r>
              <w:rPr>
                <w:rFonts w:ascii="Calibri" w:hAnsi="Calibri"/>
                <w:sz w:val="20"/>
              </w:rPr>
              <w:t>CDC</w:t>
            </w:r>
          </w:p>
        </w:tc>
        <w:tc>
          <w:tcPr>
            <w:tcW w:type="dxa" w:w="3312"/>
            <w:vAlign w:val="center"/>
          </w:tcPr>
          <w:p>
            <w:r>
              <w:rPr>
                <w:rFonts w:ascii="Calibri" w:hAnsi="Calibri"/>
                <w:sz w:val="20"/>
              </w:rPr>
              <w:t>Capture low-impact source changes.</w:t>
            </w:r>
          </w:p>
        </w:tc>
        <w:tc>
          <w:tcPr>
            <w:tcW w:type="dxa" w:w="3312"/>
            <w:vAlign w:val="center"/>
          </w:tcPr>
          <w:p>
            <w:r>
              <w:rPr>
                <w:rFonts w:ascii="Calibri" w:hAnsi="Calibri"/>
                <w:sz w:val="20"/>
              </w:rPr>
              <w:t>OLTP replication to analytics</w:t>
            </w:r>
          </w:p>
        </w:tc>
      </w:tr>
      <w:tr>
        <w:tc>
          <w:tcPr>
            <w:tcW w:type="dxa" w:w="3312"/>
            <w:vAlign w:val="center"/>
          </w:tcPr>
          <w:p>
            <w:r>
              <w:rPr>
                <w:rFonts w:ascii="Calibri" w:hAnsi="Calibri"/>
                <w:sz w:val="20"/>
              </w:rPr>
              <w:t>Medallion</w:t>
            </w:r>
          </w:p>
        </w:tc>
        <w:tc>
          <w:tcPr>
            <w:tcW w:type="dxa" w:w="3312"/>
            <w:vAlign w:val="center"/>
          </w:tcPr>
          <w:p>
            <w:r>
              <w:rPr>
                <w:rFonts w:ascii="Calibri" w:hAnsi="Calibri"/>
                <w:sz w:val="20"/>
              </w:rPr>
              <w:t>Bronze, Silver, Gold refinement layers.</w:t>
            </w:r>
          </w:p>
        </w:tc>
        <w:tc>
          <w:tcPr>
            <w:tcW w:type="dxa" w:w="3312"/>
            <w:vAlign w:val="center"/>
          </w:tcPr>
          <w:p>
            <w:r>
              <w:rPr>
                <w:rFonts w:ascii="Calibri" w:hAnsi="Calibri"/>
                <w:sz w:val="20"/>
              </w:rPr>
              <w:t>Lakehouse designs with progressive curation</w:t>
            </w:r>
          </w:p>
        </w:tc>
      </w:tr>
      <w:tr>
        <w:tc>
          <w:tcPr>
            <w:tcW w:type="dxa" w:w="3312"/>
            <w:vAlign w:val="center"/>
          </w:tcPr>
          <w:p>
            <w:r>
              <w:rPr>
                <w:rFonts w:ascii="Calibri" w:hAnsi="Calibri"/>
                <w:sz w:val="20"/>
              </w:rPr>
              <w:t>Lambda</w:t>
            </w:r>
          </w:p>
        </w:tc>
        <w:tc>
          <w:tcPr>
            <w:tcW w:type="dxa" w:w="3312"/>
            <w:vAlign w:val="center"/>
          </w:tcPr>
          <w:p>
            <w:r>
              <w:rPr>
                <w:rFonts w:ascii="Calibri" w:hAnsi="Calibri"/>
                <w:sz w:val="20"/>
              </w:rPr>
              <w:t>Combine batch and speed layers.</w:t>
            </w:r>
          </w:p>
        </w:tc>
        <w:tc>
          <w:tcPr>
            <w:tcW w:type="dxa" w:w="3312"/>
            <w:vAlign w:val="center"/>
          </w:tcPr>
          <w:p>
            <w:r>
              <w:rPr>
                <w:rFonts w:ascii="Calibri" w:hAnsi="Calibri"/>
                <w:sz w:val="20"/>
              </w:rPr>
              <w:t>Need both fast updates and complete recomputation</w:t>
            </w:r>
          </w:p>
        </w:tc>
      </w:tr>
      <w:tr>
        <w:tc>
          <w:tcPr>
            <w:tcW w:type="dxa" w:w="3312"/>
            <w:vAlign w:val="center"/>
          </w:tcPr>
          <w:p>
            <w:r>
              <w:rPr>
                <w:rFonts w:ascii="Calibri" w:hAnsi="Calibri"/>
                <w:sz w:val="20"/>
              </w:rPr>
              <w:t>Kappa-style</w:t>
            </w:r>
          </w:p>
        </w:tc>
        <w:tc>
          <w:tcPr>
            <w:tcW w:type="dxa" w:w="3312"/>
            <w:vAlign w:val="center"/>
          </w:tcPr>
          <w:p>
            <w:r>
              <w:rPr>
                <w:rFonts w:ascii="Calibri" w:hAnsi="Calibri"/>
                <w:sz w:val="20"/>
              </w:rPr>
              <w:t>Prioritize streaming plus replay.</w:t>
            </w:r>
          </w:p>
        </w:tc>
        <w:tc>
          <w:tcPr>
            <w:tcW w:type="dxa" w:w="3312"/>
            <w:vAlign w:val="center"/>
          </w:tcPr>
          <w:p>
            <w:r>
              <w:rPr>
                <w:rFonts w:ascii="Calibri" w:hAnsi="Calibri"/>
                <w:sz w:val="20"/>
              </w:rPr>
              <w:t>Event-driven systems with strong replay semantics</w:t>
            </w:r>
          </w:p>
        </w:tc>
      </w:tr>
    </w:tbl>
    <w:p/>
    <w:p>
      <w:pPr>
        <w:ind w:left="360" w:right="360"/>
        <w:shd w:fill="F3F5F7"/>
      </w:pPr>
      <w:r>
        <w:rPr>
          <w:rFonts w:ascii="Courier New" w:hAnsi="Courier New"/>
          <w:sz w:val="18"/>
        </w:rPr>
        <w:t>```mermaid</w:t>
      </w:r>
    </w:p>
    <w:p>
      <w:pPr>
        <w:ind w:left="360" w:right="360"/>
        <w:shd w:fill="F3F5F7"/>
      </w:pPr>
      <w:r>
        <w:rPr>
          <w:rFonts w:ascii="Courier New" w:hAnsi="Courier New"/>
          <w:sz w:val="18"/>
        </w:rPr>
        <w:t>flowchart LR</w:t>
      </w:r>
    </w:p>
    <w:p>
      <w:pPr>
        <w:ind w:left="360" w:right="360"/>
        <w:shd w:fill="F3F5F7"/>
      </w:pPr>
      <w:r>
        <w:rPr>
          <w:rFonts w:ascii="Courier New" w:hAnsi="Courier New"/>
          <w:sz w:val="18"/>
        </w:rPr>
        <w:t xml:space="preserve">    A[Sources] --&gt; B[Raw / Bronze]</w:t>
      </w:r>
    </w:p>
    <w:p>
      <w:pPr>
        <w:ind w:left="360" w:right="360"/>
        <w:shd w:fill="F3F5F7"/>
      </w:pPr>
      <w:r>
        <w:rPr>
          <w:rFonts w:ascii="Courier New" w:hAnsi="Courier New"/>
          <w:sz w:val="18"/>
        </w:rPr>
        <w:t xml:space="preserve">    B --&gt; C[Silver / Cleaned]</w:t>
      </w:r>
    </w:p>
    <w:p>
      <w:pPr>
        <w:ind w:left="360" w:right="360"/>
        <w:shd w:fill="F3F5F7"/>
      </w:pPr>
      <w:r>
        <w:rPr>
          <w:rFonts w:ascii="Courier New" w:hAnsi="Courier New"/>
          <w:sz w:val="18"/>
        </w:rPr>
        <w:t xml:space="preserve">    C --&gt; D[Gold / Curated]</w:t>
      </w:r>
    </w:p>
    <w:p>
      <w:pPr>
        <w:ind w:left="360" w:right="360"/>
        <w:shd w:fill="F3F5F7"/>
      </w:pPr>
      <w:r>
        <w:rPr>
          <w:rFonts w:ascii="Courier New" w:hAnsi="Courier New"/>
          <w:sz w:val="18"/>
        </w:rPr>
        <w:t xml:space="preserve">    D --&gt; E[BI / ML / APIs]</w:t>
      </w:r>
    </w:p>
    <w:p>
      <w:pPr>
        <w:ind w:left="360" w:right="360"/>
        <w:shd w:fill="F3F5F7"/>
      </w:pPr>
      <w:r>
        <w:rPr>
          <w:rFonts w:ascii="Courier New" w:hAnsi="Courier New"/>
          <w:sz w:val="18"/>
        </w:rPr>
        <w:t xml:space="preserve">    C --&gt; F[Quality Tests]</w:t>
      </w:r>
    </w:p>
    <w:p>
      <w:pPr>
        <w:ind w:left="360" w:right="360"/>
        <w:shd w:fill="F3F5F7"/>
      </w:pPr>
      <w:r>
        <w:rPr>
          <w:rFonts w:ascii="Courier New" w:hAnsi="Courier New"/>
          <w:sz w:val="18"/>
        </w:rPr>
        <w:t xml:space="preserve">    D --&gt; G[Monitoring &amp; Audit]</w:t>
      </w:r>
    </w:p>
    <w:p>
      <w:pPr>
        <w:ind w:left="360" w:right="360"/>
        <w:shd w:fill="F3F5F7"/>
      </w:pPr>
      <w:r>
        <w:rPr>
          <w:rFonts w:ascii="Courier New" w:hAnsi="Courier New"/>
          <w:sz w:val="18"/>
        </w:rPr>
        <w:t>```</w:t>
      </w:r>
    </w:p>
    <w:p>
      <w:pPr>
        <w:pStyle w:val="Heading1"/>
      </w:pPr>
      <w:r>
        <w:t>5. Workflow Orchestration and Dependency Management</w:t>
      </w:r>
    </w:p>
    <w:p>
      <w:r>
        <w:t>Orchestration ensures the right work runs in the right order at the right time. For multi-step pipelines, orchestration is the difference between a set of disconnected scripts and an operational workflow that can be understood, monitored, retried, and governed.</w:t>
      </w:r>
    </w:p>
    <w:p>
      <w:pPr>
        <w:pStyle w:val="ListBullet"/>
      </w:pPr>
      <w:r>
        <w:t>Represent workflows as DAGs where dependencies are explicit.</w:t>
      </w:r>
    </w:p>
    <w:p>
      <w:pPr>
        <w:pStyle w:val="ListBullet"/>
      </w:pPr>
      <w:r>
        <w:t>Parameterize runs using dates, entity IDs, or environment settings.</w:t>
      </w:r>
    </w:p>
    <w:p>
      <w:pPr>
        <w:pStyle w:val="ListBullet"/>
      </w:pPr>
      <w:r>
        <w:t>Build retry logic and notification rules into the workflow rather than relying on human intervention.</w:t>
      </w:r>
    </w:p>
    <w:p>
      <w:pPr>
        <w:pStyle w:val="ListBullet"/>
      </w:pPr>
      <w:r>
        <w:t>Maintain run history and operator visibility.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Orchestration Concept</w:t>
            </w:r>
          </w:p>
        </w:tc>
        <w:tc>
          <w:tcPr>
            <w:tcW w:type="dxa" w:w="3312"/>
            <w:vAlign w:val="center"/>
            <w:shd w:fill="D9E2F3"/>
          </w:tcPr>
          <w:p>
            <w:r>
              <w:rPr>
                <w:rFonts w:ascii="Calibri" w:hAnsi="Calibri"/>
                <w:b/>
                <w:sz w:val="20"/>
              </w:rPr>
              <w:t>Description</w:t>
            </w:r>
          </w:p>
        </w:tc>
        <w:tc>
          <w:tcPr>
            <w:tcW w:type="dxa" w:w="3312"/>
            <w:vAlign w:val="center"/>
            <w:shd w:fill="D9E2F3"/>
          </w:tcPr>
          <w:p>
            <w:r>
              <w:rPr>
                <w:rFonts w:ascii="Calibri" w:hAnsi="Calibri"/>
                <w:b/>
                <w:sz w:val="20"/>
              </w:rPr>
              <w:t>Example / Tool</w:t>
            </w:r>
          </w:p>
        </w:tc>
      </w:tr>
      <w:tr>
        <w:tc>
          <w:tcPr>
            <w:tcW w:type="dxa" w:w="3312"/>
            <w:vAlign w:val="center"/>
          </w:tcPr>
          <w:p>
            <w:r>
              <w:rPr>
                <w:rFonts w:ascii="Calibri" w:hAnsi="Calibri"/>
                <w:sz w:val="20"/>
              </w:rPr>
              <w:t>Schedule</w:t>
            </w:r>
          </w:p>
        </w:tc>
        <w:tc>
          <w:tcPr>
            <w:tcW w:type="dxa" w:w="3312"/>
            <w:vAlign w:val="center"/>
          </w:tcPr>
          <w:p>
            <w:r>
              <w:rPr>
                <w:rFonts w:ascii="Calibri" w:hAnsi="Calibri"/>
                <w:sz w:val="20"/>
              </w:rPr>
              <w:t>Defines when the pipeline starts</w:t>
            </w:r>
          </w:p>
        </w:tc>
        <w:tc>
          <w:tcPr>
            <w:tcW w:type="dxa" w:w="3312"/>
            <w:vAlign w:val="center"/>
          </w:tcPr>
          <w:p>
            <w:r>
              <w:rPr>
                <w:rFonts w:ascii="Calibri" w:hAnsi="Calibri"/>
                <w:sz w:val="20"/>
              </w:rPr>
              <w:t>Cron trigger, event trigger, manual rerun</w:t>
            </w:r>
          </w:p>
        </w:tc>
      </w:tr>
      <w:tr>
        <w:tc>
          <w:tcPr>
            <w:tcW w:type="dxa" w:w="3312"/>
            <w:vAlign w:val="center"/>
          </w:tcPr>
          <w:p>
            <w:r>
              <w:rPr>
                <w:rFonts w:ascii="Calibri" w:hAnsi="Calibri"/>
                <w:sz w:val="20"/>
              </w:rPr>
              <w:t>Dependencies</w:t>
            </w:r>
          </w:p>
        </w:tc>
        <w:tc>
          <w:tcPr>
            <w:tcW w:type="dxa" w:w="3312"/>
            <w:vAlign w:val="center"/>
          </w:tcPr>
          <w:p>
            <w:r>
              <w:rPr>
                <w:rFonts w:ascii="Calibri" w:hAnsi="Calibri"/>
                <w:sz w:val="20"/>
              </w:rPr>
              <w:t>Controls task order</w:t>
            </w:r>
          </w:p>
        </w:tc>
        <w:tc>
          <w:tcPr>
            <w:tcW w:type="dxa" w:w="3312"/>
            <w:vAlign w:val="center"/>
          </w:tcPr>
          <w:p>
            <w:r>
              <w:rPr>
                <w:rFonts w:ascii="Calibri" w:hAnsi="Calibri"/>
                <w:sz w:val="20"/>
              </w:rPr>
              <w:t>Upstream/downstream tasks in a DAG</w:t>
            </w:r>
          </w:p>
        </w:tc>
      </w:tr>
      <w:tr>
        <w:tc>
          <w:tcPr>
            <w:tcW w:type="dxa" w:w="3312"/>
            <w:vAlign w:val="center"/>
          </w:tcPr>
          <w:p>
            <w:r>
              <w:rPr>
                <w:rFonts w:ascii="Calibri" w:hAnsi="Calibri"/>
                <w:sz w:val="20"/>
              </w:rPr>
              <w:t>Retry Strategy</w:t>
            </w:r>
          </w:p>
        </w:tc>
        <w:tc>
          <w:tcPr>
            <w:tcW w:type="dxa" w:w="3312"/>
            <w:vAlign w:val="center"/>
          </w:tcPr>
          <w:p>
            <w:r>
              <w:rPr>
                <w:rFonts w:ascii="Calibri" w:hAnsi="Calibri"/>
                <w:sz w:val="20"/>
              </w:rPr>
              <w:t>How failures are retried</w:t>
            </w:r>
          </w:p>
        </w:tc>
        <w:tc>
          <w:tcPr>
            <w:tcW w:type="dxa" w:w="3312"/>
            <w:vAlign w:val="center"/>
          </w:tcPr>
          <w:p>
            <w:r>
              <w:rPr>
                <w:rFonts w:ascii="Calibri" w:hAnsi="Calibri"/>
                <w:sz w:val="20"/>
              </w:rPr>
              <w:t>3 retries with backoff, retry only on transient failures</w:t>
            </w:r>
          </w:p>
        </w:tc>
      </w:tr>
      <w:tr>
        <w:tc>
          <w:tcPr>
            <w:tcW w:type="dxa" w:w="3312"/>
            <w:vAlign w:val="center"/>
          </w:tcPr>
          <w:p>
            <w:r>
              <w:rPr>
                <w:rFonts w:ascii="Calibri" w:hAnsi="Calibri"/>
                <w:sz w:val="20"/>
              </w:rPr>
              <w:t>Notification</w:t>
            </w:r>
          </w:p>
        </w:tc>
        <w:tc>
          <w:tcPr>
            <w:tcW w:type="dxa" w:w="3312"/>
            <w:vAlign w:val="center"/>
          </w:tcPr>
          <w:p>
            <w:r>
              <w:rPr>
                <w:rFonts w:ascii="Calibri" w:hAnsi="Calibri"/>
                <w:sz w:val="20"/>
              </w:rPr>
              <w:t>How people or systems are alerted</w:t>
            </w:r>
          </w:p>
        </w:tc>
        <w:tc>
          <w:tcPr>
            <w:tcW w:type="dxa" w:w="3312"/>
            <w:vAlign w:val="center"/>
          </w:tcPr>
          <w:p>
            <w:r>
              <w:rPr>
                <w:rFonts w:ascii="Calibri" w:hAnsi="Calibri"/>
                <w:sz w:val="20"/>
              </w:rPr>
              <w:t>Teams message, email, incident webhook</w:t>
            </w:r>
          </w:p>
        </w:tc>
      </w:tr>
      <w:tr>
        <w:tc>
          <w:tcPr>
            <w:tcW w:type="dxa" w:w="3312"/>
            <w:vAlign w:val="center"/>
          </w:tcPr>
          <w:p>
            <w:r>
              <w:rPr>
                <w:rFonts w:ascii="Calibri" w:hAnsi="Calibri"/>
                <w:sz w:val="20"/>
              </w:rPr>
              <w:t>Parameterization</w:t>
            </w:r>
          </w:p>
        </w:tc>
        <w:tc>
          <w:tcPr>
            <w:tcW w:type="dxa" w:w="3312"/>
            <w:vAlign w:val="center"/>
          </w:tcPr>
          <w:p>
            <w:r>
              <w:rPr>
                <w:rFonts w:ascii="Calibri" w:hAnsi="Calibri"/>
                <w:sz w:val="20"/>
              </w:rPr>
              <w:t>Controls reruns and reuse</w:t>
            </w:r>
          </w:p>
        </w:tc>
        <w:tc>
          <w:tcPr>
            <w:tcW w:type="dxa" w:w="3312"/>
            <w:vAlign w:val="center"/>
          </w:tcPr>
          <w:p>
            <w:r>
              <w:rPr>
                <w:rFonts w:ascii="Calibri" w:hAnsi="Calibri"/>
                <w:sz w:val="20"/>
              </w:rPr>
              <w:t>run_date, source_system, region</w:t>
            </w:r>
          </w:p>
        </w:tc>
      </w:tr>
      <w:tr>
        <w:tc>
          <w:tcPr>
            <w:tcW w:type="dxa" w:w="3312"/>
            <w:vAlign w:val="center"/>
          </w:tcPr>
          <w:p>
            <w:r>
              <w:rPr>
                <w:rFonts w:ascii="Calibri" w:hAnsi="Calibri"/>
                <w:sz w:val="20"/>
              </w:rPr>
              <w:t>Backfill</w:t>
            </w:r>
          </w:p>
        </w:tc>
        <w:tc>
          <w:tcPr>
            <w:tcW w:type="dxa" w:w="3312"/>
            <w:vAlign w:val="center"/>
          </w:tcPr>
          <w:p>
            <w:r>
              <w:rPr>
                <w:rFonts w:ascii="Calibri" w:hAnsi="Calibri"/>
                <w:sz w:val="20"/>
              </w:rPr>
              <w:t>Replay historical periods</w:t>
            </w:r>
          </w:p>
        </w:tc>
        <w:tc>
          <w:tcPr>
            <w:tcW w:type="dxa" w:w="3312"/>
            <w:vAlign w:val="center"/>
          </w:tcPr>
          <w:p>
            <w:r>
              <w:rPr>
                <w:rFonts w:ascii="Calibri" w:hAnsi="Calibri"/>
                <w:sz w:val="20"/>
              </w:rPr>
              <w:t>Run pipeline for last 90 days in batches</w:t>
            </w:r>
          </w:p>
        </w:tc>
      </w:tr>
    </w:tbl>
    <w:p/>
    <w:p>
      <w:pPr>
        <w:ind w:left="360" w:right="360"/>
        <w:shd w:fill="F3F5F7"/>
      </w:pPr>
      <w:r>
        <w:rPr>
          <w:rFonts w:ascii="Courier New" w:hAnsi="Courier New"/>
          <w:sz w:val="18"/>
        </w:rPr>
        <w:t>```mermaid</w:t>
      </w:r>
    </w:p>
    <w:p>
      <w:pPr>
        <w:ind w:left="360" w:right="360"/>
        <w:shd w:fill="F3F5F7"/>
      </w:pPr>
      <w:r>
        <w:rPr>
          <w:rFonts w:ascii="Courier New" w:hAnsi="Courier New"/>
          <w:sz w:val="18"/>
        </w:rPr>
        <w:t>flowchart TD</w:t>
      </w:r>
    </w:p>
    <w:p>
      <w:pPr>
        <w:ind w:left="360" w:right="360"/>
        <w:shd w:fill="F3F5F7"/>
      </w:pPr>
      <w:r>
        <w:rPr>
          <w:rFonts w:ascii="Courier New" w:hAnsi="Courier New"/>
          <w:sz w:val="18"/>
        </w:rPr>
        <w:t xml:space="preserve">    A[Extract Orders] --&gt; D[Validate Orders]</w:t>
      </w:r>
    </w:p>
    <w:p>
      <w:pPr>
        <w:ind w:left="360" w:right="360"/>
        <w:shd w:fill="F3F5F7"/>
      </w:pPr>
      <w:r>
        <w:rPr>
          <w:rFonts w:ascii="Courier New" w:hAnsi="Courier New"/>
          <w:sz w:val="18"/>
        </w:rPr>
        <w:t xml:space="preserve">    B[Extract Customers] --&gt; E[Validate Customers]</w:t>
      </w:r>
    </w:p>
    <w:p>
      <w:pPr>
        <w:ind w:left="360" w:right="360"/>
        <w:shd w:fill="F3F5F7"/>
      </w:pPr>
      <w:r>
        <w:rPr>
          <w:rFonts w:ascii="Courier New" w:hAnsi="Courier New"/>
          <w:sz w:val="18"/>
        </w:rPr>
        <w:t xml:space="preserve">    C[Extract Products] --&gt; F[Validate Products]</w:t>
      </w:r>
    </w:p>
    <w:p>
      <w:pPr>
        <w:ind w:left="360" w:right="360"/>
        <w:shd w:fill="F3F5F7"/>
      </w:pPr>
      <w:r>
        <w:rPr>
          <w:rFonts w:ascii="Courier New" w:hAnsi="Courier New"/>
          <w:sz w:val="18"/>
        </w:rPr>
        <w:t xml:space="preserve">    D --&gt; G[Transform Fact Order Line]</w:t>
      </w:r>
    </w:p>
    <w:p>
      <w:pPr>
        <w:ind w:left="360" w:right="360"/>
        <w:shd w:fill="F3F5F7"/>
      </w:pPr>
      <w:r>
        <w:rPr>
          <w:rFonts w:ascii="Courier New" w:hAnsi="Courier New"/>
          <w:sz w:val="18"/>
        </w:rPr>
        <w:t xml:space="preserve">    E --&gt; G</w:t>
      </w:r>
    </w:p>
    <w:p>
      <w:pPr>
        <w:ind w:left="360" w:right="360"/>
        <w:shd w:fill="F3F5F7"/>
      </w:pPr>
      <w:r>
        <w:rPr>
          <w:rFonts w:ascii="Courier New" w:hAnsi="Courier New"/>
          <w:sz w:val="18"/>
        </w:rPr>
        <w:t xml:space="preserve">    F --&gt; G</w:t>
      </w:r>
    </w:p>
    <w:p>
      <w:pPr>
        <w:ind w:left="360" w:right="360"/>
        <w:shd w:fill="F3F5F7"/>
      </w:pPr>
      <w:r>
        <w:rPr>
          <w:rFonts w:ascii="Courier New" w:hAnsi="Courier New"/>
          <w:sz w:val="18"/>
        </w:rPr>
        <w:t xml:space="preserve">    G --&gt; H[Build Aggregates]</w:t>
      </w:r>
    </w:p>
    <w:p>
      <w:pPr>
        <w:ind w:left="360" w:right="360"/>
        <w:shd w:fill="F3F5F7"/>
      </w:pPr>
      <w:r>
        <w:rPr>
          <w:rFonts w:ascii="Courier New" w:hAnsi="Courier New"/>
          <w:sz w:val="18"/>
        </w:rPr>
        <w:t xml:space="preserve">    G --&gt; I[Publish Curated Tables]</w:t>
      </w:r>
    </w:p>
    <w:p>
      <w:pPr>
        <w:ind w:left="360" w:right="360"/>
        <w:shd w:fill="F3F5F7"/>
      </w:pPr>
      <w:r>
        <w:rPr>
          <w:rFonts w:ascii="Courier New" w:hAnsi="Courier New"/>
          <w:sz w:val="18"/>
        </w:rPr>
        <w:t xml:space="preserve">    H --&gt; J[Success Metrics]</w:t>
      </w:r>
    </w:p>
    <w:p>
      <w:pPr>
        <w:ind w:left="360" w:right="360"/>
        <w:shd w:fill="F3F5F7"/>
      </w:pPr>
      <w:r>
        <w:rPr>
          <w:rFonts w:ascii="Courier New" w:hAnsi="Courier New"/>
          <w:sz w:val="18"/>
        </w:rPr>
        <w:t xml:space="preserve">    I --&gt; J</w:t>
      </w:r>
    </w:p>
    <w:p>
      <w:pPr>
        <w:ind w:left="360" w:right="360"/>
        <w:shd w:fill="F3F5F7"/>
      </w:pPr>
      <w:r>
        <w:rPr>
          <w:rFonts w:ascii="Courier New" w:hAnsi="Courier New"/>
          <w:sz w:val="18"/>
        </w:rPr>
        <w:t>```</w:t>
      </w:r>
    </w:p>
    <w:p>
      <w:pPr>
        <w:pStyle w:val="Heading1"/>
      </w:pPr>
      <w:r>
        <w:t>6. Monitoring, Logging, and Alerting</w:t>
      </w:r>
    </w:p>
    <w:p>
      <w:r>
        <w:t>Monitoring is the ongoing measurement of pipeline behavior. Logging is the detailed recording of what happened during execution. Alerting is how the system surfaces meaningful issues to operators. Together, they form the operational visibility layer of data engineering.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Capability</w:t>
            </w:r>
          </w:p>
        </w:tc>
        <w:tc>
          <w:tcPr>
            <w:tcW w:type="dxa" w:w="3312"/>
            <w:vAlign w:val="center"/>
            <w:shd w:fill="D9E2F3"/>
          </w:tcPr>
          <w:p>
            <w:r>
              <w:rPr>
                <w:rFonts w:ascii="Calibri" w:hAnsi="Calibri"/>
                <w:b/>
                <w:sz w:val="20"/>
              </w:rPr>
              <w:t>Description</w:t>
            </w:r>
          </w:p>
        </w:tc>
        <w:tc>
          <w:tcPr>
            <w:tcW w:type="dxa" w:w="3312"/>
            <w:vAlign w:val="center"/>
            <w:shd w:fill="D9E2F3"/>
          </w:tcPr>
          <w:p>
            <w:r>
              <w:rPr>
                <w:rFonts w:ascii="Calibri" w:hAnsi="Calibri"/>
                <w:b/>
                <w:sz w:val="20"/>
              </w:rPr>
              <w:t>Example / Tool</w:t>
            </w:r>
          </w:p>
        </w:tc>
      </w:tr>
      <w:tr>
        <w:tc>
          <w:tcPr>
            <w:tcW w:type="dxa" w:w="3312"/>
            <w:vAlign w:val="center"/>
          </w:tcPr>
          <w:p>
            <w:r>
              <w:rPr>
                <w:rFonts w:ascii="Calibri" w:hAnsi="Calibri"/>
                <w:sz w:val="20"/>
              </w:rPr>
              <w:t>Freshness Monitoring</w:t>
            </w:r>
          </w:p>
        </w:tc>
        <w:tc>
          <w:tcPr>
            <w:tcW w:type="dxa" w:w="3312"/>
            <w:vAlign w:val="center"/>
          </w:tcPr>
          <w:p>
            <w:r>
              <w:rPr>
                <w:rFonts w:ascii="Calibri" w:hAnsi="Calibri"/>
                <w:sz w:val="20"/>
              </w:rPr>
              <w:t>Checks whether data is available on time</w:t>
            </w:r>
          </w:p>
        </w:tc>
        <w:tc>
          <w:tcPr>
            <w:tcW w:type="dxa" w:w="3312"/>
            <w:vAlign w:val="center"/>
          </w:tcPr>
          <w:p>
            <w:r>
              <w:rPr>
                <w:rFonts w:ascii="Calibri" w:hAnsi="Calibri"/>
                <w:sz w:val="20"/>
              </w:rPr>
              <w:t>Latest load timestamp, freshness SLA dashboard</w:t>
            </w:r>
          </w:p>
        </w:tc>
      </w:tr>
      <w:tr>
        <w:tc>
          <w:tcPr>
            <w:tcW w:type="dxa" w:w="3312"/>
            <w:vAlign w:val="center"/>
          </w:tcPr>
          <w:p>
            <w:r>
              <w:rPr>
                <w:rFonts w:ascii="Calibri" w:hAnsi="Calibri"/>
                <w:sz w:val="20"/>
              </w:rPr>
              <w:t>Volume Monitoring</w:t>
            </w:r>
          </w:p>
        </w:tc>
        <w:tc>
          <w:tcPr>
            <w:tcW w:type="dxa" w:w="3312"/>
            <w:vAlign w:val="center"/>
          </w:tcPr>
          <w:p>
            <w:r>
              <w:rPr>
                <w:rFonts w:ascii="Calibri" w:hAnsi="Calibri"/>
                <w:sz w:val="20"/>
              </w:rPr>
              <w:t>Checks row counts and trend changes</w:t>
            </w:r>
          </w:p>
        </w:tc>
        <w:tc>
          <w:tcPr>
            <w:tcW w:type="dxa" w:w="3312"/>
            <w:vAlign w:val="center"/>
          </w:tcPr>
          <w:p>
            <w:r>
              <w:rPr>
                <w:rFonts w:ascii="Calibri" w:hAnsi="Calibri"/>
                <w:sz w:val="20"/>
              </w:rPr>
              <w:t>Expected range alerts, row count audit table</w:t>
            </w:r>
          </w:p>
        </w:tc>
      </w:tr>
      <w:tr>
        <w:tc>
          <w:tcPr>
            <w:tcW w:type="dxa" w:w="3312"/>
            <w:vAlign w:val="center"/>
          </w:tcPr>
          <w:p>
            <w:r>
              <w:rPr>
                <w:rFonts w:ascii="Calibri" w:hAnsi="Calibri"/>
                <w:sz w:val="20"/>
              </w:rPr>
              <w:t>Error Monitoring</w:t>
            </w:r>
          </w:p>
        </w:tc>
        <w:tc>
          <w:tcPr>
            <w:tcW w:type="dxa" w:w="3312"/>
            <w:vAlign w:val="center"/>
          </w:tcPr>
          <w:p>
            <w:r>
              <w:rPr>
                <w:rFonts w:ascii="Calibri" w:hAnsi="Calibri"/>
                <w:sz w:val="20"/>
              </w:rPr>
              <w:t>Tracks failed runs and failed tasks</w:t>
            </w:r>
          </w:p>
        </w:tc>
        <w:tc>
          <w:tcPr>
            <w:tcW w:type="dxa" w:w="3312"/>
            <w:vAlign w:val="center"/>
          </w:tcPr>
          <w:p>
            <w:r>
              <w:rPr>
                <w:rFonts w:ascii="Calibri" w:hAnsi="Calibri"/>
                <w:sz w:val="20"/>
              </w:rPr>
              <w:t>Run-status dashboard, alert rules</w:t>
            </w:r>
          </w:p>
        </w:tc>
      </w:tr>
      <w:tr>
        <w:tc>
          <w:tcPr>
            <w:tcW w:type="dxa" w:w="3312"/>
            <w:vAlign w:val="center"/>
          </w:tcPr>
          <w:p>
            <w:r>
              <w:rPr>
                <w:rFonts w:ascii="Calibri" w:hAnsi="Calibri"/>
                <w:sz w:val="20"/>
              </w:rPr>
              <w:t>Structured Logging</w:t>
            </w:r>
          </w:p>
        </w:tc>
        <w:tc>
          <w:tcPr>
            <w:tcW w:type="dxa" w:w="3312"/>
            <w:vAlign w:val="center"/>
          </w:tcPr>
          <w:p>
            <w:r>
              <w:rPr>
                <w:rFonts w:ascii="Calibri" w:hAnsi="Calibri"/>
                <w:sz w:val="20"/>
              </w:rPr>
              <w:t>Captures machine-readable line items for each run/task</w:t>
            </w:r>
          </w:p>
        </w:tc>
        <w:tc>
          <w:tcPr>
            <w:tcW w:type="dxa" w:w="3312"/>
            <w:vAlign w:val="center"/>
          </w:tcPr>
          <w:p>
            <w:r>
              <w:rPr>
                <w:rFonts w:ascii="Calibri" w:hAnsi="Calibri"/>
                <w:sz w:val="20"/>
              </w:rPr>
              <w:t>Run ID, task ID, row count, error code</w:t>
            </w:r>
          </w:p>
        </w:tc>
      </w:tr>
      <w:tr>
        <w:tc>
          <w:tcPr>
            <w:tcW w:type="dxa" w:w="3312"/>
            <w:vAlign w:val="center"/>
          </w:tcPr>
          <w:p>
            <w:r>
              <w:rPr>
                <w:rFonts w:ascii="Calibri" w:hAnsi="Calibri"/>
                <w:sz w:val="20"/>
              </w:rPr>
              <w:t>Alerting</w:t>
            </w:r>
          </w:p>
        </w:tc>
        <w:tc>
          <w:tcPr>
            <w:tcW w:type="dxa" w:w="3312"/>
            <w:vAlign w:val="center"/>
          </w:tcPr>
          <w:p>
            <w:r>
              <w:rPr>
                <w:rFonts w:ascii="Calibri" w:hAnsi="Calibri"/>
                <w:sz w:val="20"/>
              </w:rPr>
              <w:t>Notifies the right audience with useful context</w:t>
            </w:r>
          </w:p>
        </w:tc>
        <w:tc>
          <w:tcPr>
            <w:tcW w:type="dxa" w:w="3312"/>
            <w:vAlign w:val="center"/>
          </w:tcPr>
          <w:p>
            <w:r>
              <w:rPr>
                <w:rFonts w:ascii="Calibri" w:hAnsi="Calibri"/>
                <w:sz w:val="20"/>
              </w:rPr>
              <w:t>Teams alert with dataset, task, error, run ID</w:t>
            </w:r>
          </w:p>
        </w:tc>
      </w:tr>
      <w:tr>
        <w:tc>
          <w:tcPr>
            <w:tcW w:type="dxa" w:w="3312"/>
            <w:vAlign w:val="center"/>
          </w:tcPr>
          <w:p>
            <w:r>
              <w:rPr>
                <w:rFonts w:ascii="Calibri" w:hAnsi="Calibri"/>
                <w:sz w:val="20"/>
              </w:rPr>
              <w:t>Audit Logging</w:t>
            </w:r>
          </w:p>
        </w:tc>
        <w:tc>
          <w:tcPr>
            <w:tcW w:type="dxa" w:w="3312"/>
            <w:vAlign w:val="center"/>
          </w:tcPr>
          <w:p>
            <w:r>
              <w:rPr>
                <w:rFonts w:ascii="Calibri" w:hAnsi="Calibri"/>
                <w:sz w:val="20"/>
              </w:rPr>
              <w:t>Retains evidence of execution and control</w:t>
            </w:r>
          </w:p>
        </w:tc>
        <w:tc>
          <w:tcPr>
            <w:tcW w:type="dxa" w:w="3312"/>
            <w:vAlign w:val="center"/>
          </w:tcPr>
          <w:p>
            <w:r>
              <w:rPr>
                <w:rFonts w:ascii="Calibri" w:hAnsi="Calibri"/>
                <w:sz w:val="20"/>
              </w:rPr>
              <w:t>Audit tables, change logs, lineage records</w:t>
            </w:r>
          </w:p>
        </w:tc>
      </w:tr>
    </w:tbl>
    <w:p/>
    <w:p>
      <w:pPr>
        <w:pStyle w:val="Heading2"/>
      </w:pPr>
      <w:r>
        <w:t>What a Good Alert Should Include</w:t>
      </w:r>
    </w:p>
    <w:p>
      <w:pPr>
        <w:pStyle w:val="ListBullet"/>
      </w:pPr>
      <w:r>
        <w:t>Pipeline or dataset name</w:t>
      </w:r>
    </w:p>
    <w:p>
      <w:pPr>
        <w:pStyle w:val="ListBullet"/>
      </w:pPr>
      <w:r>
        <w:t>Run ID and failed task name</w:t>
      </w:r>
    </w:p>
    <w:p>
      <w:pPr>
        <w:pStyle w:val="ListBullet"/>
      </w:pPr>
      <w:r>
        <w:t>Time of failure and environment</w:t>
      </w:r>
    </w:p>
    <w:p>
      <w:pPr>
        <w:pStyle w:val="ListBullet"/>
      </w:pPr>
      <w:r>
        <w:t>Short error summary and likely impact</w:t>
      </w:r>
    </w:p>
    <w:p>
      <w:pPr>
        <w:pStyle w:val="ListBullet"/>
      </w:pPr>
      <w:r>
        <w:t>Link to logs or run details</w:t>
      </w:r>
    </w:p>
    <w:p>
      <w:pPr>
        <w:pStyle w:val="ListBullet"/>
      </w:pPr>
      <w:r>
        <w:t>Suggested recovery next step if known</w:t>
      </w:r>
    </w:p>
    <w:p>
      <w:pPr>
        <w:ind w:left="360" w:right="360"/>
        <w:shd w:fill="F3F5F7"/>
      </w:pPr>
      <w:r>
        <w:rPr>
          <w:rFonts w:ascii="Courier New" w:hAnsi="Courier New"/>
          <w:sz w:val="18"/>
        </w:rPr>
        <w:t>```mermaid</w:t>
      </w:r>
    </w:p>
    <w:p>
      <w:pPr>
        <w:ind w:left="360" w:right="360"/>
        <w:shd w:fill="F3F5F7"/>
      </w:pPr>
      <w:r>
        <w:rPr>
          <w:rFonts w:ascii="Courier New" w:hAnsi="Courier New"/>
          <w:sz w:val="18"/>
        </w:rPr>
        <w:t>flowchart LR</w:t>
      </w:r>
    </w:p>
    <w:p>
      <w:pPr>
        <w:ind w:left="360" w:right="360"/>
        <w:shd w:fill="F3F5F7"/>
      </w:pPr>
      <w:r>
        <w:rPr>
          <w:rFonts w:ascii="Courier New" w:hAnsi="Courier New"/>
          <w:sz w:val="18"/>
        </w:rPr>
        <w:t xml:space="preserve">    A[Pipeline Task] --&gt; B{Success?}</w:t>
      </w:r>
    </w:p>
    <w:p>
      <w:pPr>
        <w:ind w:left="360" w:right="360"/>
        <w:shd w:fill="F3F5F7"/>
      </w:pPr>
      <w:r>
        <w:rPr>
          <w:rFonts w:ascii="Courier New" w:hAnsi="Courier New"/>
          <w:sz w:val="18"/>
        </w:rPr>
        <w:t xml:space="preserve">    B -- Yes --&gt; C[Write Audit Metrics]</w:t>
      </w:r>
    </w:p>
    <w:p>
      <w:pPr>
        <w:ind w:left="360" w:right="360"/>
        <w:shd w:fill="F3F5F7"/>
      </w:pPr>
      <w:r>
        <w:rPr>
          <w:rFonts w:ascii="Courier New" w:hAnsi="Courier New"/>
          <w:sz w:val="18"/>
        </w:rPr>
        <w:t xml:space="preserve">    C --&gt; D[Next Task]</w:t>
      </w:r>
    </w:p>
    <w:p>
      <w:pPr>
        <w:ind w:left="360" w:right="360"/>
        <w:shd w:fill="F3F5F7"/>
      </w:pPr>
      <w:r>
        <w:rPr>
          <w:rFonts w:ascii="Courier New" w:hAnsi="Courier New"/>
          <w:sz w:val="18"/>
        </w:rPr>
        <w:t xml:space="preserve">    B -- No --&gt; E{Recoverable?}</w:t>
      </w:r>
    </w:p>
    <w:p>
      <w:pPr>
        <w:ind w:left="360" w:right="360"/>
        <w:shd w:fill="F3F5F7"/>
      </w:pPr>
      <w:r>
        <w:rPr>
          <w:rFonts w:ascii="Courier New" w:hAnsi="Courier New"/>
          <w:sz w:val="18"/>
        </w:rPr>
        <w:t xml:space="preserve">    E -- Yes --&gt; F[Retry with Backoff]</w:t>
      </w:r>
    </w:p>
    <w:p>
      <w:pPr>
        <w:ind w:left="360" w:right="360"/>
        <w:shd w:fill="F3F5F7"/>
      </w:pPr>
      <w:r>
        <w:rPr>
          <w:rFonts w:ascii="Courier New" w:hAnsi="Courier New"/>
          <w:sz w:val="18"/>
        </w:rPr>
        <w:t xml:space="preserve">    F --&gt; A</w:t>
      </w:r>
    </w:p>
    <w:p>
      <w:pPr>
        <w:ind w:left="360" w:right="360"/>
        <w:shd w:fill="F3F5F7"/>
      </w:pPr>
      <w:r>
        <w:rPr>
          <w:rFonts w:ascii="Courier New" w:hAnsi="Courier New"/>
          <w:sz w:val="18"/>
        </w:rPr>
        <w:t xml:space="preserve">    E -- No --&gt; G[Send Alert]</w:t>
      </w:r>
    </w:p>
    <w:p>
      <w:pPr>
        <w:ind w:left="360" w:right="360"/>
        <w:shd w:fill="F3F5F7"/>
      </w:pPr>
      <w:r>
        <w:rPr>
          <w:rFonts w:ascii="Courier New" w:hAnsi="Courier New"/>
          <w:sz w:val="18"/>
        </w:rPr>
        <w:t xml:space="preserve">    G --&gt; H[Incident / Ticket]</w:t>
      </w:r>
    </w:p>
    <w:p>
      <w:pPr>
        <w:ind w:left="360" w:right="360"/>
        <w:shd w:fill="F3F5F7"/>
      </w:pPr>
      <w:r>
        <w:rPr>
          <w:rFonts w:ascii="Courier New" w:hAnsi="Courier New"/>
          <w:sz w:val="18"/>
        </w:rPr>
        <w:t xml:space="preserve">    G --&gt; I[Quarantine Failed Records]</w:t>
      </w:r>
    </w:p>
    <w:p>
      <w:pPr>
        <w:ind w:left="360" w:right="360"/>
        <w:shd w:fill="F3F5F7"/>
      </w:pPr>
      <w:r>
        <w:rPr>
          <w:rFonts w:ascii="Courier New" w:hAnsi="Courier New"/>
          <w:sz w:val="18"/>
        </w:rPr>
        <w:t>```</w:t>
      </w:r>
    </w:p>
    <w:p>
      <w:pPr>
        <w:pStyle w:val="Heading1"/>
      </w:pPr>
      <w:r>
        <w:t>7. Error Handling and Recovery Patterns</w:t>
      </w:r>
    </w:p>
    <w:p>
      <w:r>
        <w:t>Recovery design should be intentional rather than improvised. Teams should know whether a failure should retry automatically, whether the pipeline can continue with partial data, and how downstream publication is blocked until the state is safe.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Failure Type</w:t>
            </w:r>
          </w:p>
        </w:tc>
        <w:tc>
          <w:tcPr>
            <w:tcW w:type="dxa" w:w="3312"/>
            <w:vAlign w:val="center"/>
            <w:shd w:fill="D9E2F3"/>
          </w:tcPr>
          <w:p>
            <w:r>
              <w:rPr>
                <w:rFonts w:ascii="Calibri" w:hAnsi="Calibri"/>
                <w:b/>
                <w:sz w:val="20"/>
              </w:rPr>
              <w:t>Examples</w:t>
            </w:r>
          </w:p>
        </w:tc>
        <w:tc>
          <w:tcPr>
            <w:tcW w:type="dxa" w:w="3312"/>
            <w:vAlign w:val="center"/>
            <w:shd w:fill="D9E2F3"/>
          </w:tcPr>
          <w:p>
            <w:r>
              <w:rPr>
                <w:rFonts w:ascii="Calibri" w:hAnsi="Calibri"/>
                <w:b/>
                <w:sz w:val="20"/>
              </w:rPr>
              <w:t>Recommended Response</w:t>
            </w:r>
          </w:p>
        </w:tc>
      </w:tr>
      <w:tr>
        <w:tc>
          <w:tcPr>
            <w:tcW w:type="dxa" w:w="3312"/>
            <w:vAlign w:val="center"/>
          </w:tcPr>
          <w:p>
            <w:r>
              <w:rPr>
                <w:rFonts w:ascii="Calibri" w:hAnsi="Calibri"/>
                <w:sz w:val="20"/>
              </w:rPr>
              <w:t>Transient Operational</w:t>
            </w:r>
          </w:p>
        </w:tc>
        <w:tc>
          <w:tcPr>
            <w:tcW w:type="dxa" w:w="3312"/>
            <w:vAlign w:val="center"/>
          </w:tcPr>
          <w:p>
            <w:r>
              <w:rPr>
                <w:rFonts w:ascii="Calibri" w:hAnsi="Calibri"/>
                <w:sz w:val="20"/>
              </w:rPr>
              <w:t>Temporary network timeout, brief API outage</w:t>
            </w:r>
          </w:p>
        </w:tc>
        <w:tc>
          <w:tcPr>
            <w:tcW w:type="dxa" w:w="3312"/>
            <w:vAlign w:val="center"/>
          </w:tcPr>
          <w:p>
            <w:r>
              <w:rPr>
                <w:rFonts w:ascii="Calibri" w:hAnsi="Calibri"/>
                <w:sz w:val="20"/>
              </w:rPr>
              <w:t>Retry with bounded backoff</w:t>
            </w:r>
          </w:p>
        </w:tc>
      </w:tr>
      <w:tr>
        <w:tc>
          <w:tcPr>
            <w:tcW w:type="dxa" w:w="3312"/>
            <w:vAlign w:val="center"/>
          </w:tcPr>
          <w:p>
            <w:r>
              <w:rPr>
                <w:rFonts w:ascii="Calibri" w:hAnsi="Calibri"/>
                <w:sz w:val="20"/>
              </w:rPr>
              <w:t>Persistent Operational</w:t>
            </w:r>
          </w:p>
        </w:tc>
        <w:tc>
          <w:tcPr>
            <w:tcW w:type="dxa" w:w="3312"/>
            <w:vAlign w:val="center"/>
          </w:tcPr>
          <w:p>
            <w:r>
              <w:rPr>
                <w:rFonts w:ascii="Calibri" w:hAnsi="Calibri"/>
                <w:sz w:val="20"/>
              </w:rPr>
              <w:t>Permission revoked, secret expired, endpoint removed</w:t>
            </w:r>
          </w:p>
        </w:tc>
        <w:tc>
          <w:tcPr>
            <w:tcW w:type="dxa" w:w="3312"/>
            <w:vAlign w:val="center"/>
          </w:tcPr>
          <w:p>
            <w:r>
              <w:rPr>
                <w:rFonts w:ascii="Calibri" w:hAnsi="Calibri"/>
                <w:sz w:val="20"/>
              </w:rPr>
              <w:t>Fail fast, alert, open incident</w:t>
            </w:r>
          </w:p>
        </w:tc>
      </w:tr>
      <w:tr>
        <w:tc>
          <w:tcPr>
            <w:tcW w:type="dxa" w:w="3312"/>
            <w:vAlign w:val="center"/>
          </w:tcPr>
          <w:p>
            <w:r>
              <w:rPr>
                <w:rFonts w:ascii="Calibri" w:hAnsi="Calibri"/>
                <w:sz w:val="20"/>
              </w:rPr>
              <w:t>Data Quality Failure</w:t>
            </w:r>
          </w:p>
        </w:tc>
        <w:tc>
          <w:tcPr>
            <w:tcW w:type="dxa" w:w="3312"/>
            <w:vAlign w:val="center"/>
          </w:tcPr>
          <w:p>
            <w:r>
              <w:rPr>
                <w:rFonts w:ascii="Calibri" w:hAnsi="Calibri"/>
                <w:sz w:val="20"/>
              </w:rPr>
              <w:t>Duplicate business keys, invalid amount, null mandatory field</w:t>
            </w:r>
          </w:p>
        </w:tc>
        <w:tc>
          <w:tcPr>
            <w:tcW w:type="dxa" w:w="3312"/>
            <w:vAlign w:val="center"/>
          </w:tcPr>
          <w:p>
            <w:r>
              <w:rPr>
                <w:rFonts w:ascii="Calibri" w:hAnsi="Calibri"/>
                <w:sz w:val="20"/>
              </w:rPr>
              <w:t>Quarantine, continue where safe, notify owner</w:t>
            </w:r>
          </w:p>
        </w:tc>
      </w:tr>
      <w:tr>
        <w:tc>
          <w:tcPr>
            <w:tcW w:type="dxa" w:w="3312"/>
            <w:vAlign w:val="center"/>
          </w:tcPr>
          <w:p>
            <w:r>
              <w:rPr>
                <w:rFonts w:ascii="Calibri" w:hAnsi="Calibri"/>
                <w:sz w:val="20"/>
              </w:rPr>
              <w:t>Schema Drift</w:t>
            </w:r>
          </w:p>
        </w:tc>
        <w:tc>
          <w:tcPr>
            <w:tcW w:type="dxa" w:w="3312"/>
            <w:vAlign w:val="center"/>
          </w:tcPr>
          <w:p>
            <w:r>
              <w:rPr>
                <w:rFonts w:ascii="Calibri" w:hAnsi="Calibri"/>
                <w:sz w:val="20"/>
              </w:rPr>
              <w:t>Unexpected new/removed column</w:t>
            </w:r>
          </w:p>
        </w:tc>
        <w:tc>
          <w:tcPr>
            <w:tcW w:type="dxa" w:w="3312"/>
            <w:vAlign w:val="center"/>
          </w:tcPr>
          <w:p>
            <w:r>
              <w:rPr>
                <w:rFonts w:ascii="Calibri" w:hAnsi="Calibri"/>
                <w:sz w:val="20"/>
              </w:rPr>
              <w:t>Compatibility handling or controlled stop</w:t>
            </w:r>
          </w:p>
        </w:tc>
      </w:tr>
      <w:tr>
        <w:tc>
          <w:tcPr>
            <w:tcW w:type="dxa" w:w="3312"/>
            <w:vAlign w:val="center"/>
          </w:tcPr>
          <w:p>
            <w:r>
              <w:rPr>
                <w:rFonts w:ascii="Calibri" w:hAnsi="Calibri"/>
                <w:sz w:val="20"/>
              </w:rPr>
              <w:t>Partial Load</w:t>
            </w:r>
          </w:p>
        </w:tc>
        <w:tc>
          <w:tcPr>
            <w:tcW w:type="dxa" w:w="3312"/>
            <w:vAlign w:val="center"/>
          </w:tcPr>
          <w:p>
            <w:r>
              <w:rPr>
                <w:rFonts w:ascii="Calibri" w:hAnsi="Calibri"/>
                <w:sz w:val="20"/>
              </w:rPr>
              <w:t>Only one partition loaded before crash</w:t>
            </w:r>
          </w:p>
        </w:tc>
        <w:tc>
          <w:tcPr>
            <w:tcW w:type="dxa" w:w="3312"/>
            <w:vAlign w:val="center"/>
          </w:tcPr>
          <w:p>
            <w:r>
              <w:rPr>
                <w:rFonts w:ascii="Calibri" w:hAnsi="Calibri"/>
                <w:sz w:val="20"/>
              </w:rPr>
              <w:t>Use idempotency and validation before publish</w:t>
            </w:r>
          </w:p>
        </w:tc>
      </w:tr>
    </w:tbl>
    <w:p/>
    <w:p>
      <w:pPr>
        <w:pStyle w:val="Heading2"/>
      </w:pPr>
      <w:r>
        <w:t>Practical Recovery Principles</w:t>
      </w:r>
    </w:p>
    <w:p>
      <w:pPr>
        <w:pStyle w:val="ListBullet"/>
      </w:pPr>
      <w:r>
        <w:t>Never publish partially validated data as final output.</w:t>
      </w:r>
    </w:p>
    <w:p>
      <w:pPr>
        <w:pStyle w:val="ListBullet"/>
      </w:pPr>
      <w:r>
        <w:t>Distinguish task retry from data replay; they are not the same.</w:t>
      </w:r>
    </w:p>
    <w:p>
      <w:pPr>
        <w:pStyle w:val="ListBullet"/>
      </w:pPr>
      <w:r>
        <w:t>Use checkpointing or idempotent merge logic to avoid double loads.</w:t>
      </w:r>
    </w:p>
    <w:p>
      <w:pPr>
        <w:pStyle w:val="ListBullet"/>
      </w:pPr>
      <w:r>
        <w:t>Capture enough metadata to reproduce the run context.</w:t>
      </w:r>
    </w:p>
    <w:p>
      <w:pPr>
        <w:pStyle w:val="Heading1"/>
      </w:pPr>
      <w:r>
        <w:t>8. Cloud-Native Data Architecture</w:t>
      </w:r>
    </w:p>
    <w:p>
      <w:r>
        <w:t>Cloud-native data architecture introduces elastic compute, managed services, and flexible storage. This reduces infrastructure burden but increases the importance of cost governance, structured permissions, and workload isolation.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Capability</w:t>
            </w:r>
          </w:p>
        </w:tc>
        <w:tc>
          <w:tcPr>
            <w:tcW w:type="dxa" w:w="3312"/>
            <w:vAlign w:val="center"/>
            <w:shd w:fill="D9E2F3"/>
          </w:tcPr>
          <w:p>
            <w:r>
              <w:rPr>
                <w:rFonts w:ascii="Calibri" w:hAnsi="Calibri"/>
                <w:b/>
                <w:sz w:val="20"/>
              </w:rPr>
              <w:t>Why It Matters</w:t>
            </w:r>
          </w:p>
        </w:tc>
        <w:tc>
          <w:tcPr>
            <w:tcW w:type="dxa" w:w="3312"/>
            <w:vAlign w:val="center"/>
            <w:shd w:fill="D9E2F3"/>
          </w:tcPr>
          <w:p>
            <w:r>
              <w:rPr>
                <w:rFonts w:ascii="Calibri" w:hAnsi="Calibri"/>
                <w:b/>
                <w:sz w:val="20"/>
              </w:rPr>
              <w:t>Examples</w:t>
            </w:r>
          </w:p>
        </w:tc>
      </w:tr>
      <w:tr>
        <w:tc>
          <w:tcPr>
            <w:tcW w:type="dxa" w:w="3312"/>
            <w:vAlign w:val="center"/>
          </w:tcPr>
          <w:p>
            <w:r>
              <w:rPr>
                <w:rFonts w:ascii="Calibri" w:hAnsi="Calibri"/>
                <w:sz w:val="20"/>
              </w:rPr>
              <w:t>Elastic Compute</w:t>
            </w:r>
          </w:p>
        </w:tc>
        <w:tc>
          <w:tcPr>
            <w:tcW w:type="dxa" w:w="3312"/>
            <w:vAlign w:val="center"/>
          </w:tcPr>
          <w:p>
            <w:r>
              <w:rPr>
                <w:rFonts w:ascii="Calibri" w:hAnsi="Calibri"/>
                <w:sz w:val="20"/>
              </w:rPr>
              <w:t>Scale up/down based on workload</w:t>
            </w:r>
          </w:p>
        </w:tc>
        <w:tc>
          <w:tcPr>
            <w:tcW w:type="dxa" w:w="3312"/>
            <w:vAlign w:val="center"/>
          </w:tcPr>
          <w:p>
            <w:r>
              <w:rPr>
                <w:rFonts w:ascii="Calibri" w:hAnsi="Calibri"/>
                <w:sz w:val="20"/>
              </w:rPr>
              <w:t>On-demand SQL compute, Spark capacity</w:t>
            </w:r>
          </w:p>
        </w:tc>
      </w:tr>
      <w:tr>
        <w:tc>
          <w:tcPr>
            <w:tcW w:type="dxa" w:w="3312"/>
            <w:vAlign w:val="center"/>
          </w:tcPr>
          <w:p>
            <w:r>
              <w:rPr>
                <w:rFonts w:ascii="Calibri" w:hAnsi="Calibri"/>
                <w:sz w:val="20"/>
              </w:rPr>
              <w:t>Storage / Compute Separation</w:t>
            </w:r>
          </w:p>
        </w:tc>
        <w:tc>
          <w:tcPr>
            <w:tcW w:type="dxa" w:w="3312"/>
            <w:vAlign w:val="center"/>
          </w:tcPr>
          <w:p>
            <w:r>
              <w:rPr>
                <w:rFonts w:ascii="Calibri" w:hAnsi="Calibri"/>
                <w:sz w:val="20"/>
              </w:rPr>
              <w:t>Keep large data volumes without always paying active compute cost</w:t>
            </w:r>
          </w:p>
        </w:tc>
        <w:tc>
          <w:tcPr>
            <w:tcW w:type="dxa" w:w="3312"/>
            <w:vAlign w:val="center"/>
          </w:tcPr>
          <w:p>
            <w:r>
              <w:rPr>
                <w:rFonts w:ascii="Calibri" w:hAnsi="Calibri"/>
                <w:sz w:val="20"/>
              </w:rPr>
              <w:t>Warehouse and lakehouse storage models</w:t>
            </w:r>
          </w:p>
        </w:tc>
      </w:tr>
      <w:tr>
        <w:tc>
          <w:tcPr>
            <w:tcW w:type="dxa" w:w="3312"/>
            <w:vAlign w:val="center"/>
          </w:tcPr>
          <w:p>
            <w:r>
              <w:rPr>
                <w:rFonts w:ascii="Calibri" w:hAnsi="Calibri"/>
                <w:sz w:val="20"/>
              </w:rPr>
              <w:t>Managed Services</w:t>
            </w:r>
          </w:p>
        </w:tc>
        <w:tc>
          <w:tcPr>
            <w:tcW w:type="dxa" w:w="3312"/>
            <w:vAlign w:val="center"/>
          </w:tcPr>
          <w:p>
            <w:r>
              <w:rPr>
                <w:rFonts w:ascii="Calibri" w:hAnsi="Calibri"/>
                <w:sz w:val="20"/>
              </w:rPr>
              <w:t>Reduce operational overhead</w:t>
            </w:r>
          </w:p>
        </w:tc>
        <w:tc>
          <w:tcPr>
            <w:tcW w:type="dxa" w:w="3312"/>
            <w:vAlign w:val="center"/>
          </w:tcPr>
          <w:p>
            <w:r>
              <w:rPr>
                <w:rFonts w:ascii="Calibri" w:hAnsi="Calibri"/>
                <w:sz w:val="20"/>
              </w:rPr>
              <w:t>Managed orchestration, monitoring, SQL, storage</w:t>
            </w:r>
          </w:p>
        </w:tc>
      </w:tr>
      <w:tr>
        <w:tc>
          <w:tcPr>
            <w:tcW w:type="dxa" w:w="3312"/>
            <w:vAlign w:val="center"/>
          </w:tcPr>
          <w:p>
            <w:r>
              <w:rPr>
                <w:rFonts w:ascii="Calibri" w:hAnsi="Calibri"/>
                <w:sz w:val="20"/>
              </w:rPr>
              <w:t>Identity Integration</w:t>
            </w:r>
          </w:p>
        </w:tc>
        <w:tc>
          <w:tcPr>
            <w:tcW w:type="dxa" w:w="3312"/>
            <w:vAlign w:val="center"/>
          </w:tcPr>
          <w:p>
            <w:r>
              <w:rPr>
                <w:rFonts w:ascii="Calibri" w:hAnsi="Calibri"/>
                <w:sz w:val="20"/>
              </w:rPr>
              <w:t>Centralize access control</w:t>
            </w:r>
          </w:p>
        </w:tc>
        <w:tc>
          <w:tcPr>
            <w:tcW w:type="dxa" w:w="3312"/>
            <w:vAlign w:val="center"/>
          </w:tcPr>
          <w:p>
            <w:r>
              <w:rPr>
                <w:rFonts w:ascii="Calibri" w:hAnsi="Calibri"/>
                <w:sz w:val="20"/>
              </w:rPr>
              <w:t>SSO, RBAC, group-based permissions</w:t>
            </w:r>
          </w:p>
        </w:tc>
      </w:tr>
      <w:tr>
        <w:tc>
          <w:tcPr>
            <w:tcW w:type="dxa" w:w="3312"/>
            <w:vAlign w:val="center"/>
          </w:tcPr>
          <w:p>
            <w:r>
              <w:rPr>
                <w:rFonts w:ascii="Calibri" w:hAnsi="Calibri"/>
                <w:sz w:val="20"/>
              </w:rPr>
              <w:t>Workload Isolation</w:t>
            </w:r>
          </w:p>
        </w:tc>
        <w:tc>
          <w:tcPr>
            <w:tcW w:type="dxa" w:w="3312"/>
            <w:vAlign w:val="center"/>
          </w:tcPr>
          <w:p>
            <w:r>
              <w:rPr>
                <w:rFonts w:ascii="Calibri" w:hAnsi="Calibri"/>
                <w:sz w:val="20"/>
              </w:rPr>
              <w:t>Separate heavy ETL from BI usage</w:t>
            </w:r>
          </w:p>
        </w:tc>
        <w:tc>
          <w:tcPr>
            <w:tcW w:type="dxa" w:w="3312"/>
            <w:vAlign w:val="center"/>
          </w:tcPr>
          <w:p>
            <w:r>
              <w:rPr>
                <w:rFonts w:ascii="Calibri" w:hAnsi="Calibri"/>
                <w:sz w:val="20"/>
              </w:rPr>
              <w:t>Dedicated SQL endpoints, separate capacities</w:t>
            </w:r>
          </w:p>
        </w:tc>
      </w:tr>
    </w:tbl>
    <w:p/>
    <w:p>
      <w:pPr>
        <w:pStyle w:val="Heading2"/>
      </w:pPr>
      <w:r>
        <w:t>Cloud Cost Awareness</w:t>
      </w:r>
    </w:p>
    <w:p>
      <w:pPr>
        <w:pStyle w:val="ListBullet"/>
      </w:pPr>
      <w:r>
        <w:t>Scale can increase cost if workloads are not optimized.</w:t>
      </w:r>
    </w:p>
    <w:p>
      <w:pPr>
        <w:pStyle w:val="ListBullet"/>
      </w:pPr>
      <w:r>
        <w:t>Repeated broad queries, excessive refresh frequency, and duplicate storage patterns can create avoidable spend.</w:t>
      </w:r>
    </w:p>
    <w:p>
      <w:pPr>
        <w:pStyle w:val="ListBullet"/>
      </w:pPr>
      <w:r>
        <w:t>Operational dashboards should include both technical and cost indicators where possible.</w:t>
      </w:r>
    </w:p>
    <w:p>
      <w:pPr>
        <w:pStyle w:val="Heading1"/>
      </w:pPr>
      <w:r>
        <w:t>9. Distributed Computing Fundamentals</w:t>
      </w:r>
    </w:p>
    <w:p>
      <w:r>
        <w:t>Distributed computing frameworks divide work across partitions and nodes so larger datasets can be processed efficiently. This matters when datasets become too large or transformations become too resource-intensive for single-node processing.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Concept</w:t>
            </w:r>
          </w:p>
        </w:tc>
        <w:tc>
          <w:tcPr>
            <w:tcW w:type="dxa" w:w="3312"/>
            <w:vAlign w:val="center"/>
            <w:shd w:fill="D9E2F3"/>
          </w:tcPr>
          <w:p>
            <w:r>
              <w:rPr>
                <w:rFonts w:ascii="Calibri" w:hAnsi="Calibri"/>
                <w:b/>
                <w:sz w:val="20"/>
              </w:rPr>
              <w:t>Description</w:t>
            </w:r>
          </w:p>
        </w:tc>
        <w:tc>
          <w:tcPr>
            <w:tcW w:type="dxa" w:w="3312"/>
            <w:vAlign w:val="center"/>
            <w:shd w:fill="D9E2F3"/>
          </w:tcPr>
          <w:p>
            <w:r>
              <w:rPr>
                <w:rFonts w:ascii="Calibri" w:hAnsi="Calibri"/>
                <w:b/>
                <w:sz w:val="20"/>
              </w:rPr>
              <w:t>Why It Matters</w:t>
            </w:r>
          </w:p>
        </w:tc>
      </w:tr>
      <w:tr>
        <w:tc>
          <w:tcPr>
            <w:tcW w:type="dxa" w:w="3312"/>
            <w:vAlign w:val="center"/>
          </w:tcPr>
          <w:p>
            <w:r>
              <w:rPr>
                <w:rFonts w:ascii="Calibri" w:hAnsi="Calibri"/>
                <w:sz w:val="20"/>
              </w:rPr>
              <w:t>Partitioning</w:t>
            </w:r>
          </w:p>
        </w:tc>
        <w:tc>
          <w:tcPr>
            <w:tcW w:type="dxa" w:w="3312"/>
            <w:vAlign w:val="center"/>
          </w:tcPr>
          <w:p>
            <w:r>
              <w:rPr>
                <w:rFonts w:ascii="Calibri" w:hAnsi="Calibri"/>
                <w:sz w:val="20"/>
              </w:rPr>
              <w:t>Split data into manageable subsets</w:t>
            </w:r>
          </w:p>
        </w:tc>
        <w:tc>
          <w:tcPr>
            <w:tcW w:type="dxa" w:w="3312"/>
            <w:vAlign w:val="center"/>
          </w:tcPr>
          <w:p>
            <w:r>
              <w:rPr>
                <w:rFonts w:ascii="Calibri" w:hAnsi="Calibri"/>
                <w:sz w:val="20"/>
              </w:rPr>
              <w:t>Enables parallel processing and targeted execution</w:t>
            </w:r>
          </w:p>
        </w:tc>
      </w:tr>
      <w:tr>
        <w:tc>
          <w:tcPr>
            <w:tcW w:type="dxa" w:w="3312"/>
            <w:vAlign w:val="center"/>
          </w:tcPr>
          <w:p>
            <w:r>
              <w:rPr>
                <w:rFonts w:ascii="Calibri" w:hAnsi="Calibri"/>
                <w:sz w:val="20"/>
              </w:rPr>
              <w:t>Shuffle</w:t>
            </w:r>
          </w:p>
        </w:tc>
        <w:tc>
          <w:tcPr>
            <w:tcW w:type="dxa" w:w="3312"/>
            <w:vAlign w:val="center"/>
          </w:tcPr>
          <w:p>
            <w:r>
              <w:rPr>
                <w:rFonts w:ascii="Calibri" w:hAnsi="Calibri"/>
                <w:sz w:val="20"/>
              </w:rPr>
              <w:t>Move data across nodes for regrouping or joining</w:t>
            </w:r>
          </w:p>
        </w:tc>
        <w:tc>
          <w:tcPr>
            <w:tcW w:type="dxa" w:w="3312"/>
            <w:vAlign w:val="center"/>
          </w:tcPr>
          <w:p>
            <w:r>
              <w:rPr>
                <w:rFonts w:ascii="Calibri" w:hAnsi="Calibri"/>
                <w:sz w:val="20"/>
              </w:rPr>
              <w:t>Often the most expensive step</w:t>
            </w:r>
          </w:p>
        </w:tc>
      </w:tr>
      <w:tr>
        <w:tc>
          <w:tcPr>
            <w:tcW w:type="dxa" w:w="3312"/>
            <w:vAlign w:val="center"/>
          </w:tcPr>
          <w:p>
            <w:r>
              <w:rPr>
                <w:rFonts w:ascii="Calibri" w:hAnsi="Calibri"/>
                <w:sz w:val="20"/>
              </w:rPr>
              <w:t>Skew</w:t>
            </w:r>
          </w:p>
        </w:tc>
        <w:tc>
          <w:tcPr>
            <w:tcW w:type="dxa" w:w="3312"/>
            <w:vAlign w:val="center"/>
          </w:tcPr>
          <w:p>
            <w:r>
              <w:rPr>
                <w:rFonts w:ascii="Calibri" w:hAnsi="Calibri"/>
                <w:sz w:val="20"/>
              </w:rPr>
              <w:t>One partition receives much more data than others</w:t>
            </w:r>
          </w:p>
        </w:tc>
        <w:tc>
          <w:tcPr>
            <w:tcW w:type="dxa" w:w="3312"/>
            <w:vAlign w:val="center"/>
          </w:tcPr>
          <w:p>
            <w:r>
              <w:rPr>
                <w:rFonts w:ascii="Calibri" w:hAnsi="Calibri"/>
                <w:sz w:val="20"/>
              </w:rPr>
              <w:t>Creates hotspots and delays</w:t>
            </w:r>
          </w:p>
        </w:tc>
      </w:tr>
      <w:tr>
        <w:tc>
          <w:tcPr>
            <w:tcW w:type="dxa" w:w="3312"/>
            <w:vAlign w:val="center"/>
          </w:tcPr>
          <w:p>
            <w:r>
              <w:rPr>
                <w:rFonts w:ascii="Calibri" w:hAnsi="Calibri"/>
                <w:sz w:val="20"/>
              </w:rPr>
              <w:t>Fault Tolerance</w:t>
            </w:r>
          </w:p>
        </w:tc>
        <w:tc>
          <w:tcPr>
            <w:tcW w:type="dxa" w:w="3312"/>
            <w:vAlign w:val="center"/>
          </w:tcPr>
          <w:p>
            <w:r>
              <w:rPr>
                <w:rFonts w:ascii="Calibri" w:hAnsi="Calibri"/>
                <w:sz w:val="20"/>
              </w:rPr>
              <w:t>Recover if a worker fails</w:t>
            </w:r>
          </w:p>
        </w:tc>
        <w:tc>
          <w:tcPr>
            <w:tcW w:type="dxa" w:w="3312"/>
            <w:vAlign w:val="center"/>
          </w:tcPr>
          <w:p>
            <w:r>
              <w:rPr>
                <w:rFonts w:ascii="Calibri" w:hAnsi="Calibri"/>
                <w:sz w:val="20"/>
              </w:rPr>
              <w:t>Supports pipeline resilience at scale</w:t>
            </w:r>
          </w:p>
        </w:tc>
      </w:tr>
      <w:tr>
        <w:tc>
          <w:tcPr>
            <w:tcW w:type="dxa" w:w="3312"/>
            <w:vAlign w:val="center"/>
          </w:tcPr>
          <w:p>
            <w:r>
              <w:rPr>
                <w:rFonts w:ascii="Calibri" w:hAnsi="Calibri"/>
                <w:sz w:val="20"/>
              </w:rPr>
              <w:t>Parallelism</w:t>
            </w:r>
          </w:p>
        </w:tc>
        <w:tc>
          <w:tcPr>
            <w:tcW w:type="dxa" w:w="3312"/>
            <w:vAlign w:val="center"/>
          </w:tcPr>
          <w:p>
            <w:r>
              <w:rPr>
                <w:rFonts w:ascii="Calibri" w:hAnsi="Calibri"/>
                <w:sz w:val="20"/>
              </w:rPr>
              <w:t>Execute many tasks simultaneously</w:t>
            </w:r>
          </w:p>
        </w:tc>
        <w:tc>
          <w:tcPr>
            <w:tcW w:type="dxa" w:w="3312"/>
            <w:vAlign w:val="center"/>
          </w:tcPr>
          <w:p>
            <w:r>
              <w:rPr>
                <w:rFonts w:ascii="Calibri" w:hAnsi="Calibri"/>
                <w:sz w:val="20"/>
              </w:rPr>
              <w:t>Improves runtime and throughput</w:t>
            </w:r>
          </w:p>
        </w:tc>
      </w:tr>
      <w:tr>
        <w:tc>
          <w:tcPr>
            <w:tcW w:type="dxa" w:w="3312"/>
            <w:vAlign w:val="center"/>
          </w:tcPr>
          <w:p>
            <w:r>
              <w:rPr>
                <w:rFonts w:ascii="Calibri" w:hAnsi="Calibri"/>
                <w:sz w:val="20"/>
              </w:rPr>
              <w:t>Serialization / IO Overhead</w:t>
            </w:r>
          </w:p>
        </w:tc>
        <w:tc>
          <w:tcPr>
            <w:tcW w:type="dxa" w:w="3312"/>
            <w:vAlign w:val="center"/>
          </w:tcPr>
          <w:p>
            <w:r>
              <w:rPr>
                <w:rFonts w:ascii="Calibri" w:hAnsi="Calibri"/>
                <w:sz w:val="20"/>
              </w:rPr>
              <w:t>Cost of moving and encoding data</w:t>
            </w:r>
          </w:p>
        </w:tc>
        <w:tc>
          <w:tcPr>
            <w:tcW w:type="dxa" w:w="3312"/>
            <w:vAlign w:val="center"/>
          </w:tcPr>
          <w:p>
            <w:r>
              <w:rPr>
                <w:rFonts w:ascii="Calibri" w:hAnsi="Calibri"/>
                <w:sz w:val="20"/>
              </w:rPr>
              <w:t>Can degrade performance if not managed</w:t>
            </w:r>
          </w:p>
        </w:tc>
      </w:tr>
    </w:tbl>
    <w:p/>
    <w:p>
      <w:pPr>
        <w:pStyle w:val="Heading2"/>
      </w:pPr>
      <w:r>
        <w:t>When to Use Distributed Processing</w:t>
      </w:r>
    </w:p>
    <w:p>
      <w:pPr>
        <w:pStyle w:val="ListBullet"/>
      </w:pPr>
      <w:r>
        <w:t>Large-scale joins across wide datasets</w:t>
      </w:r>
    </w:p>
    <w:p>
      <w:pPr>
        <w:pStyle w:val="ListBullet"/>
      </w:pPr>
      <w:r>
        <w:t>Heavy transformations on semi-structured files in object storage</w:t>
      </w:r>
    </w:p>
    <w:p>
      <w:pPr>
        <w:pStyle w:val="ListBullet"/>
      </w:pPr>
      <w:r>
        <w:t>Sessionization or feature engineering over event streams</w:t>
      </w:r>
    </w:p>
    <w:p>
      <w:pPr>
        <w:pStyle w:val="ListBullet"/>
      </w:pPr>
      <w:r>
        <w:t>Large historical backfills where single-node execution is too slow</w:t>
      </w:r>
    </w:p>
    <w:p>
      <w:pPr>
        <w:pStyle w:val="Heading1"/>
      </w:pPr>
      <w:r>
        <w:t>10. Modern Architecture Patterns</w:t>
      </w:r>
    </w:p>
    <w:p>
      <w:pPr>
        <w:pStyle w:val="Heading2"/>
      </w:pPr>
      <w:r>
        <w:t>10.1 Medallion Architecture</w:t>
      </w:r>
    </w:p>
    <w:p>
      <w:pPr>
        <w:pStyle w:val="ListBullet"/>
      </w:pPr>
      <w:r>
        <w:t>Bronze: raw ingested data with high fidelity to source.</w:t>
      </w:r>
    </w:p>
    <w:p>
      <w:pPr>
        <w:pStyle w:val="ListBullet"/>
      </w:pPr>
      <w:r>
        <w:t>Silver: cleaned and standardized data with quality controls.</w:t>
      </w:r>
    </w:p>
    <w:p>
      <w:pPr>
        <w:pStyle w:val="ListBullet"/>
      </w:pPr>
      <w:r>
        <w:t>Gold: curated business-ready models and marts.</w:t>
      </w:r>
    </w:p>
    <w:p>
      <w:pPr>
        <w:ind w:left="360" w:right="360"/>
        <w:shd w:fill="F3F5F7"/>
      </w:pPr>
      <w:r>
        <w:rPr>
          <w:rFonts w:ascii="Courier New" w:hAnsi="Courier New"/>
          <w:sz w:val="18"/>
        </w:rPr>
        <w:t>```mermaid</w:t>
      </w:r>
    </w:p>
    <w:p>
      <w:pPr>
        <w:ind w:left="360" w:right="360"/>
        <w:shd w:fill="F3F5F7"/>
      </w:pPr>
      <w:r>
        <w:rPr>
          <w:rFonts w:ascii="Courier New" w:hAnsi="Courier New"/>
          <w:sz w:val="18"/>
        </w:rPr>
        <w:t>flowchart LR</w:t>
      </w:r>
    </w:p>
    <w:p>
      <w:pPr>
        <w:ind w:left="360" w:right="360"/>
        <w:shd w:fill="F3F5F7"/>
      </w:pPr>
      <w:r>
        <w:rPr>
          <w:rFonts w:ascii="Courier New" w:hAnsi="Courier New"/>
          <w:sz w:val="18"/>
        </w:rPr>
        <w:t xml:space="preserve">    A[Bronze / Raw] --&gt; B[Silver / Cleaned]</w:t>
      </w:r>
    </w:p>
    <w:p>
      <w:pPr>
        <w:ind w:left="360" w:right="360"/>
        <w:shd w:fill="F3F5F7"/>
      </w:pPr>
      <w:r>
        <w:rPr>
          <w:rFonts w:ascii="Courier New" w:hAnsi="Courier New"/>
          <w:sz w:val="18"/>
        </w:rPr>
        <w:t xml:space="preserve">    B --&gt; C[Gold / Curated]</w:t>
      </w:r>
    </w:p>
    <w:p>
      <w:pPr>
        <w:ind w:left="360" w:right="360"/>
        <w:shd w:fill="F3F5F7"/>
      </w:pPr>
      <w:r>
        <w:rPr>
          <w:rFonts w:ascii="Courier New" w:hAnsi="Courier New"/>
          <w:sz w:val="18"/>
        </w:rPr>
        <w:t xml:space="preserve">    B --&gt; D[Quality Tests]</w:t>
      </w:r>
    </w:p>
    <w:p>
      <w:pPr>
        <w:ind w:left="360" w:right="360"/>
        <w:shd w:fill="F3F5F7"/>
      </w:pPr>
      <w:r>
        <w:rPr>
          <w:rFonts w:ascii="Courier New" w:hAnsi="Courier New"/>
          <w:sz w:val="18"/>
        </w:rPr>
        <w:t xml:space="preserve">    C --&gt; E[Dashboards / ML / APIs]</w:t>
      </w:r>
    </w:p>
    <w:p>
      <w:pPr>
        <w:ind w:left="360" w:right="360"/>
        <w:shd w:fill="F3F5F7"/>
      </w:pPr>
      <w:r>
        <w:rPr>
          <w:rFonts w:ascii="Courier New" w:hAnsi="Courier New"/>
          <w:sz w:val="18"/>
        </w:rPr>
        <w:t>```</w:t>
      </w:r>
    </w:p>
    <w:p>
      <w:pPr>
        <w:pStyle w:val="Heading2"/>
      </w:pPr>
      <w:r>
        <w:t>10.2 Lambda Architecture</w:t>
      </w:r>
    </w:p>
    <w:p>
      <w:r>
        <w:t>Lambda architecture supports both speed and correctness by combining a fast path for recent data with a batch path for complete recomputation.</w:t>
      </w:r>
    </w:p>
    <w:p>
      <w:pPr>
        <w:ind w:left="360" w:right="360"/>
        <w:shd w:fill="F3F5F7"/>
      </w:pPr>
      <w:r>
        <w:rPr>
          <w:rFonts w:ascii="Courier New" w:hAnsi="Courier New"/>
          <w:sz w:val="18"/>
        </w:rPr>
        <w:t>```mermaid</w:t>
      </w:r>
    </w:p>
    <w:p>
      <w:pPr>
        <w:ind w:left="360" w:right="360"/>
        <w:shd w:fill="F3F5F7"/>
      </w:pPr>
      <w:r>
        <w:rPr>
          <w:rFonts w:ascii="Courier New" w:hAnsi="Courier New"/>
          <w:sz w:val="18"/>
        </w:rPr>
        <w:t>flowchart TB</w:t>
      </w:r>
    </w:p>
    <w:p>
      <w:pPr>
        <w:ind w:left="360" w:right="360"/>
        <w:shd w:fill="F3F5F7"/>
      </w:pPr>
      <w:r>
        <w:rPr>
          <w:rFonts w:ascii="Courier New" w:hAnsi="Courier New"/>
          <w:sz w:val="18"/>
        </w:rPr>
        <w:t xml:space="preserve">    A[Data Sources] --&gt; B[Batch Layer</w:t>
      </w:r>
    </w:p>
    <w:p>
      <w:pPr>
        <w:ind w:left="360" w:right="360"/>
        <w:shd w:fill="F3F5F7"/>
      </w:pPr>
      <w:r>
        <w:rPr>
          <w:rFonts w:ascii="Courier New" w:hAnsi="Courier New"/>
          <w:sz w:val="18"/>
        </w:rPr>
        <w:t>Store Master Data + Recompute Views]</w:t>
      </w:r>
    </w:p>
    <w:p>
      <w:pPr>
        <w:ind w:left="360" w:right="360"/>
        <w:shd w:fill="F3F5F7"/>
      </w:pPr>
      <w:r>
        <w:rPr>
          <w:rFonts w:ascii="Courier New" w:hAnsi="Courier New"/>
          <w:sz w:val="18"/>
        </w:rPr>
        <w:t xml:space="preserve">    A --&gt; C[Speed Layer</w:t>
      </w:r>
    </w:p>
    <w:p>
      <w:pPr>
        <w:ind w:left="360" w:right="360"/>
        <w:shd w:fill="F3F5F7"/>
      </w:pPr>
      <w:r>
        <w:rPr>
          <w:rFonts w:ascii="Courier New" w:hAnsi="Courier New"/>
          <w:sz w:val="18"/>
        </w:rPr>
        <w:t>Process Recent Events Quickly]</w:t>
      </w:r>
    </w:p>
    <w:p>
      <w:pPr>
        <w:ind w:left="360" w:right="360"/>
        <w:shd w:fill="F3F5F7"/>
      </w:pPr>
      <w:r>
        <w:rPr>
          <w:rFonts w:ascii="Courier New" w:hAnsi="Courier New"/>
          <w:sz w:val="18"/>
        </w:rPr>
        <w:t xml:space="preserve">    B --&gt; D[Serving Layer]</w:t>
      </w:r>
    </w:p>
    <w:p>
      <w:pPr>
        <w:ind w:left="360" w:right="360"/>
        <w:shd w:fill="F3F5F7"/>
      </w:pPr>
      <w:r>
        <w:rPr>
          <w:rFonts w:ascii="Courier New" w:hAnsi="Courier New"/>
          <w:sz w:val="18"/>
        </w:rPr>
        <w:t xml:space="preserve">    C --&gt; D</w:t>
      </w:r>
    </w:p>
    <w:p>
      <w:pPr>
        <w:ind w:left="360" w:right="360"/>
        <w:shd w:fill="F3F5F7"/>
      </w:pPr>
      <w:r>
        <w:rPr>
          <w:rFonts w:ascii="Courier New" w:hAnsi="Courier New"/>
          <w:sz w:val="18"/>
        </w:rPr>
        <w:t xml:space="preserve">    D --&gt; E[Dashboards / APIs / Analytics]</w:t>
      </w:r>
    </w:p>
    <w:p>
      <w:pPr>
        <w:ind w:left="360" w:right="360"/>
        <w:shd w:fill="F3F5F7"/>
      </w:pPr>
      <w:r>
        <w:rPr>
          <w:rFonts w:ascii="Courier New" w:hAnsi="Courier New"/>
          <w:sz w:val="18"/>
        </w:rPr>
        <w:t>```</w:t>
      </w:r>
    </w:p>
    <w:p>
      <w:pPr>
        <w:pStyle w:val="Heading2"/>
      </w:pPr>
      <w:r>
        <w:t>10.3 Kappa-style Thinking</w:t>
      </w:r>
    </w:p>
    <w:p>
      <w:r>
        <w:t>Some modern architectures prefer a primarily streaming approach with replay rather than maintaining separate batch and speed layers. The trade-off is often simplicity in architecture versus explicit batch recomputation logic.</w:t>
      </w:r>
    </w:p>
    <w:p>
      <w:pPr>
        <w:pStyle w:val="Heading1"/>
      </w:pPr>
      <w:r>
        <w:t>11. Data Governance Fundamentals</w:t>
      </w:r>
    </w:p>
    <w:p>
      <w:r>
        <w:t>Governance makes data trustworthy and usable across teams. It defines ownership, expected controls, metadata, and compliance obligations. Good governance reduces confusion and increases confidence in analytical outputs.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Governance Area</w:t>
            </w:r>
          </w:p>
        </w:tc>
        <w:tc>
          <w:tcPr>
            <w:tcW w:type="dxa" w:w="3312"/>
            <w:vAlign w:val="center"/>
            <w:shd w:fill="D9E2F3"/>
          </w:tcPr>
          <w:p>
            <w:r>
              <w:rPr>
                <w:rFonts w:ascii="Calibri" w:hAnsi="Calibri"/>
                <w:b/>
                <w:sz w:val="20"/>
              </w:rPr>
              <w:t>Purpose</w:t>
            </w:r>
          </w:p>
        </w:tc>
        <w:tc>
          <w:tcPr>
            <w:tcW w:type="dxa" w:w="3312"/>
            <w:vAlign w:val="center"/>
            <w:shd w:fill="D9E2F3"/>
          </w:tcPr>
          <w:p>
            <w:r>
              <w:rPr>
                <w:rFonts w:ascii="Calibri" w:hAnsi="Calibri"/>
                <w:b/>
                <w:sz w:val="20"/>
              </w:rPr>
              <w:t>Typical Controls</w:t>
            </w:r>
          </w:p>
        </w:tc>
      </w:tr>
      <w:tr>
        <w:tc>
          <w:tcPr>
            <w:tcW w:type="dxa" w:w="3312"/>
            <w:vAlign w:val="center"/>
          </w:tcPr>
          <w:p>
            <w:r>
              <w:rPr>
                <w:rFonts w:ascii="Calibri" w:hAnsi="Calibri"/>
                <w:sz w:val="20"/>
              </w:rPr>
              <w:t>Ownership</w:t>
            </w:r>
          </w:p>
        </w:tc>
        <w:tc>
          <w:tcPr>
            <w:tcW w:type="dxa" w:w="3312"/>
            <w:vAlign w:val="center"/>
          </w:tcPr>
          <w:p>
            <w:r>
              <w:rPr>
                <w:rFonts w:ascii="Calibri" w:hAnsi="Calibri"/>
                <w:sz w:val="20"/>
              </w:rPr>
              <w:t>Assign accountability</w:t>
            </w:r>
          </w:p>
        </w:tc>
        <w:tc>
          <w:tcPr>
            <w:tcW w:type="dxa" w:w="3312"/>
            <w:vAlign w:val="center"/>
          </w:tcPr>
          <w:p>
            <w:r>
              <w:rPr>
                <w:rFonts w:ascii="Calibri" w:hAnsi="Calibri"/>
                <w:sz w:val="20"/>
              </w:rPr>
              <w:t>Dataset owner, steward, support contact</w:t>
            </w:r>
          </w:p>
        </w:tc>
      </w:tr>
      <w:tr>
        <w:tc>
          <w:tcPr>
            <w:tcW w:type="dxa" w:w="3312"/>
            <w:vAlign w:val="center"/>
          </w:tcPr>
          <w:p>
            <w:r>
              <w:rPr>
                <w:rFonts w:ascii="Calibri" w:hAnsi="Calibri"/>
                <w:sz w:val="20"/>
              </w:rPr>
              <w:t>Metadata &amp; Catalog</w:t>
            </w:r>
          </w:p>
        </w:tc>
        <w:tc>
          <w:tcPr>
            <w:tcW w:type="dxa" w:w="3312"/>
            <w:vAlign w:val="center"/>
          </w:tcPr>
          <w:p>
            <w:r>
              <w:rPr>
                <w:rFonts w:ascii="Calibri" w:hAnsi="Calibri"/>
                <w:sz w:val="20"/>
              </w:rPr>
              <w:t>Improve discoverability and meaning</w:t>
            </w:r>
          </w:p>
        </w:tc>
        <w:tc>
          <w:tcPr>
            <w:tcW w:type="dxa" w:w="3312"/>
            <w:vAlign w:val="center"/>
          </w:tcPr>
          <w:p>
            <w:r>
              <w:rPr>
                <w:rFonts w:ascii="Calibri" w:hAnsi="Calibri"/>
                <w:sz w:val="20"/>
              </w:rPr>
              <w:t>Descriptions, business glossary, tags</w:t>
            </w:r>
          </w:p>
        </w:tc>
      </w:tr>
      <w:tr>
        <w:tc>
          <w:tcPr>
            <w:tcW w:type="dxa" w:w="3312"/>
            <w:vAlign w:val="center"/>
          </w:tcPr>
          <w:p>
            <w:r>
              <w:rPr>
                <w:rFonts w:ascii="Calibri" w:hAnsi="Calibri"/>
                <w:sz w:val="20"/>
              </w:rPr>
              <w:t>Lineage</w:t>
            </w:r>
          </w:p>
        </w:tc>
        <w:tc>
          <w:tcPr>
            <w:tcW w:type="dxa" w:w="3312"/>
            <w:vAlign w:val="center"/>
          </w:tcPr>
          <w:p>
            <w:r>
              <w:rPr>
                <w:rFonts w:ascii="Calibri" w:hAnsi="Calibri"/>
                <w:sz w:val="20"/>
              </w:rPr>
              <w:t>Track movement and transformation</w:t>
            </w:r>
          </w:p>
        </w:tc>
        <w:tc>
          <w:tcPr>
            <w:tcW w:type="dxa" w:w="3312"/>
            <w:vAlign w:val="center"/>
          </w:tcPr>
          <w:p>
            <w:r>
              <w:rPr>
                <w:rFonts w:ascii="Calibri" w:hAnsi="Calibri"/>
                <w:sz w:val="20"/>
              </w:rPr>
              <w:t>Upstream/downstream mapping</w:t>
            </w:r>
          </w:p>
        </w:tc>
      </w:tr>
      <w:tr>
        <w:tc>
          <w:tcPr>
            <w:tcW w:type="dxa" w:w="3312"/>
            <w:vAlign w:val="center"/>
          </w:tcPr>
          <w:p>
            <w:r>
              <w:rPr>
                <w:rFonts w:ascii="Calibri" w:hAnsi="Calibri"/>
                <w:sz w:val="20"/>
              </w:rPr>
              <w:t>Quality</w:t>
            </w:r>
          </w:p>
        </w:tc>
        <w:tc>
          <w:tcPr>
            <w:tcW w:type="dxa" w:w="3312"/>
            <w:vAlign w:val="center"/>
          </w:tcPr>
          <w:p>
            <w:r>
              <w:rPr>
                <w:rFonts w:ascii="Calibri" w:hAnsi="Calibri"/>
                <w:sz w:val="20"/>
              </w:rPr>
              <w:t>Ensure data is fit for use</w:t>
            </w:r>
          </w:p>
        </w:tc>
        <w:tc>
          <w:tcPr>
            <w:tcW w:type="dxa" w:w="3312"/>
            <w:vAlign w:val="center"/>
          </w:tcPr>
          <w:p>
            <w:r>
              <w:rPr>
                <w:rFonts w:ascii="Calibri" w:hAnsi="Calibri"/>
                <w:sz w:val="20"/>
              </w:rPr>
              <w:t>Validation rules, issue tracking</w:t>
            </w:r>
          </w:p>
        </w:tc>
      </w:tr>
      <w:tr>
        <w:tc>
          <w:tcPr>
            <w:tcW w:type="dxa" w:w="3312"/>
            <w:vAlign w:val="center"/>
          </w:tcPr>
          <w:p>
            <w:r>
              <w:rPr>
                <w:rFonts w:ascii="Calibri" w:hAnsi="Calibri"/>
                <w:sz w:val="20"/>
              </w:rPr>
              <w:t>Security</w:t>
            </w:r>
          </w:p>
        </w:tc>
        <w:tc>
          <w:tcPr>
            <w:tcW w:type="dxa" w:w="3312"/>
            <w:vAlign w:val="center"/>
          </w:tcPr>
          <w:p>
            <w:r>
              <w:rPr>
                <w:rFonts w:ascii="Calibri" w:hAnsi="Calibri"/>
                <w:sz w:val="20"/>
              </w:rPr>
              <w:t>Protect against unauthorized access</w:t>
            </w:r>
          </w:p>
        </w:tc>
        <w:tc>
          <w:tcPr>
            <w:tcW w:type="dxa" w:w="3312"/>
            <w:vAlign w:val="center"/>
          </w:tcPr>
          <w:p>
            <w:r>
              <w:rPr>
                <w:rFonts w:ascii="Calibri" w:hAnsi="Calibri"/>
                <w:sz w:val="20"/>
              </w:rPr>
              <w:t>RBAC, encryption, masking</w:t>
            </w:r>
          </w:p>
        </w:tc>
      </w:tr>
      <w:tr>
        <w:tc>
          <w:tcPr>
            <w:tcW w:type="dxa" w:w="3312"/>
            <w:vAlign w:val="center"/>
          </w:tcPr>
          <w:p>
            <w:r>
              <w:rPr>
                <w:rFonts w:ascii="Calibri" w:hAnsi="Calibri"/>
                <w:sz w:val="20"/>
              </w:rPr>
              <w:t>Privacy</w:t>
            </w:r>
          </w:p>
        </w:tc>
        <w:tc>
          <w:tcPr>
            <w:tcW w:type="dxa" w:w="3312"/>
            <w:vAlign w:val="center"/>
          </w:tcPr>
          <w:p>
            <w:r>
              <w:rPr>
                <w:rFonts w:ascii="Calibri" w:hAnsi="Calibri"/>
                <w:sz w:val="20"/>
              </w:rPr>
              <w:t>Protect personal/sensitive data</w:t>
            </w:r>
          </w:p>
        </w:tc>
        <w:tc>
          <w:tcPr>
            <w:tcW w:type="dxa" w:w="3312"/>
            <w:vAlign w:val="center"/>
          </w:tcPr>
          <w:p>
            <w:r>
              <w:rPr>
                <w:rFonts w:ascii="Calibri" w:hAnsi="Calibri"/>
                <w:sz w:val="20"/>
              </w:rPr>
              <w:t>Tokenization, pseudonymization, minimization</w:t>
            </w:r>
          </w:p>
        </w:tc>
      </w:tr>
      <w:tr>
        <w:tc>
          <w:tcPr>
            <w:tcW w:type="dxa" w:w="3312"/>
            <w:vAlign w:val="center"/>
          </w:tcPr>
          <w:p>
            <w:r>
              <w:rPr>
                <w:rFonts w:ascii="Calibri" w:hAnsi="Calibri"/>
                <w:sz w:val="20"/>
              </w:rPr>
              <w:t>Compliance</w:t>
            </w:r>
          </w:p>
        </w:tc>
        <w:tc>
          <w:tcPr>
            <w:tcW w:type="dxa" w:w="3312"/>
            <w:vAlign w:val="center"/>
          </w:tcPr>
          <w:p>
            <w:r>
              <w:rPr>
                <w:rFonts w:ascii="Calibri" w:hAnsi="Calibri"/>
                <w:sz w:val="20"/>
              </w:rPr>
              <w:t>Meet legal and policy obligations</w:t>
            </w:r>
          </w:p>
        </w:tc>
        <w:tc>
          <w:tcPr>
            <w:tcW w:type="dxa" w:w="3312"/>
            <w:vAlign w:val="center"/>
          </w:tcPr>
          <w:p>
            <w:r>
              <w:rPr>
                <w:rFonts w:ascii="Calibri" w:hAnsi="Calibri"/>
                <w:sz w:val="20"/>
              </w:rPr>
              <w:t>Retention schedules, access audits, consent controls</w:t>
            </w:r>
          </w:p>
        </w:tc>
      </w:tr>
    </w:tbl>
    <w:p/>
    <w:p>
      <w:pPr>
        <w:pStyle w:val="Heading1"/>
      </w:pPr>
      <w:r>
        <w:t>12. Security and Privacy Controls</w:t>
      </w:r>
    </w:p>
    <w:p>
      <w:r>
        <w:t>Security controls should apply across raw, stage, curated, and serving layers. It is not sufficient to mask sensitive data only at the dashboard layer if raw and intermediate storage remain widely accessible.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Control</w:t>
            </w:r>
          </w:p>
        </w:tc>
        <w:tc>
          <w:tcPr>
            <w:tcW w:type="dxa" w:w="3312"/>
            <w:vAlign w:val="center"/>
            <w:shd w:fill="D9E2F3"/>
          </w:tcPr>
          <w:p>
            <w:r>
              <w:rPr>
                <w:rFonts w:ascii="Calibri" w:hAnsi="Calibri"/>
                <w:b/>
                <w:sz w:val="20"/>
              </w:rPr>
              <w:t>Description</w:t>
            </w:r>
          </w:p>
        </w:tc>
        <w:tc>
          <w:tcPr>
            <w:tcW w:type="dxa" w:w="3312"/>
            <w:vAlign w:val="center"/>
            <w:shd w:fill="D9E2F3"/>
          </w:tcPr>
          <w:p>
            <w:r>
              <w:rPr>
                <w:rFonts w:ascii="Calibri" w:hAnsi="Calibri"/>
                <w:b/>
                <w:sz w:val="20"/>
              </w:rPr>
              <w:t>Example / Tool</w:t>
            </w:r>
          </w:p>
        </w:tc>
      </w:tr>
      <w:tr>
        <w:tc>
          <w:tcPr>
            <w:tcW w:type="dxa" w:w="3312"/>
            <w:vAlign w:val="center"/>
          </w:tcPr>
          <w:p>
            <w:r>
              <w:rPr>
                <w:rFonts w:ascii="Calibri" w:hAnsi="Calibri"/>
                <w:sz w:val="20"/>
              </w:rPr>
              <w:t>RBAC</w:t>
            </w:r>
          </w:p>
        </w:tc>
        <w:tc>
          <w:tcPr>
            <w:tcW w:type="dxa" w:w="3312"/>
            <w:vAlign w:val="center"/>
          </w:tcPr>
          <w:p>
            <w:r>
              <w:rPr>
                <w:rFonts w:ascii="Calibri" w:hAnsi="Calibri"/>
                <w:sz w:val="20"/>
              </w:rPr>
              <w:t>Role-based access to workspaces and datasets</w:t>
            </w:r>
          </w:p>
        </w:tc>
        <w:tc>
          <w:tcPr>
            <w:tcW w:type="dxa" w:w="3312"/>
            <w:vAlign w:val="center"/>
          </w:tcPr>
          <w:p>
            <w:r>
              <w:rPr>
                <w:rFonts w:ascii="Calibri" w:hAnsi="Calibri"/>
                <w:sz w:val="20"/>
              </w:rPr>
              <w:t>Reader, contributor, admin roles</w:t>
            </w:r>
          </w:p>
        </w:tc>
      </w:tr>
      <w:tr>
        <w:tc>
          <w:tcPr>
            <w:tcW w:type="dxa" w:w="3312"/>
            <w:vAlign w:val="center"/>
          </w:tcPr>
          <w:p>
            <w:r>
              <w:rPr>
                <w:rFonts w:ascii="Calibri" w:hAnsi="Calibri"/>
                <w:sz w:val="20"/>
              </w:rPr>
              <w:t>Row-Level Security</w:t>
            </w:r>
          </w:p>
        </w:tc>
        <w:tc>
          <w:tcPr>
            <w:tcW w:type="dxa" w:w="3312"/>
            <w:vAlign w:val="center"/>
          </w:tcPr>
          <w:p>
            <w:r>
              <w:rPr>
                <w:rFonts w:ascii="Calibri" w:hAnsi="Calibri"/>
                <w:sz w:val="20"/>
              </w:rPr>
              <w:t>Restrict rows visible to different groups</w:t>
            </w:r>
          </w:p>
        </w:tc>
        <w:tc>
          <w:tcPr>
            <w:tcW w:type="dxa" w:w="3312"/>
            <w:vAlign w:val="center"/>
          </w:tcPr>
          <w:p>
            <w:r>
              <w:rPr>
                <w:rFonts w:ascii="Calibri" w:hAnsi="Calibri"/>
                <w:sz w:val="20"/>
              </w:rPr>
              <w:t>Geographic access restriction</w:t>
            </w:r>
          </w:p>
        </w:tc>
      </w:tr>
      <w:tr>
        <w:tc>
          <w:tcPr>
            <w:tcW w:type="dxa" w:w="3312"/>
            <w:vAlign w:val="center"/>
          </w:tcPr>
          <w:p>
            <w:r>
              <w:rPr>
                <w:rFonts w:ascii="Calibri" w:hAnsi="Calibri"/>
                <w:sz w:val="20"/>
              </w:rPr>
              <w:t>Column Masking</w:t>
            </w:r>
          </w:p>
        </w:tc>
        <w:tc>
          <w:tcPr>
            <w:tcW w:type="dxa" w:w="3312"/>
            <w:vAlign w:val="center"/>
          </w:tcPr>
          <w:p>
            <w:r>
              <w:rPr>
                <w:rFonts w:ascii="Calibri" w:hAnsi="Calibri"/>
                <w:sz w:val="20"/>
              </w:rPr>
              <w:t>Hide or obfuscate sensitive values</w:t>
            </w:r>
          </w:p>
        </w:tc>
        <w:tc>
          <w:tcPr>
            <w:tcW w:type="dxa" w:w="3312"/>
            <w:vAlign w:val="center"/>
          </w:tcPr>
          <w:p>
            <w:r>
              <w:rPr>
                <w:rFonts w:ascii="Calibri" w:hAnsi="Calibri"/>
                <w:sz w:val="20"/>
              </w:rPr>
              <w:t>Mask email or phone</w:t>
            </w:r>
          </w:p>
        </w:tc>
      </w:tr>
      <w:tr>
        <w:tc>
          <w:tcPr>
            <w:tcW w:type="dxa" w:w="3312"/>
            <w:vAlign w:val="center"/>
          </w:tcPr>
          <w:p>
            <w:r>
              <w:rPr>
                <w:rFonts w:ascii="Calibri" w:hAnsi="Calibri"/>
                <w:sz w:val="20"/>
              </w:rPr>
              <w:t>Tokenization</w:t>
            </w:r>
          </w:p>
        </w:tc>
        <w:tc>
          <w:tcPr>
            <w:tcW w:type="dxa" w:w="3312"/>
            <w:vAlign w:val="center"/>
          </w:tcPr>
          <w:p>
            <w:r>
              <w:rPr>
                <w:rFonts w:ascii="Calibri" w:hAnsi="Calibri"/>
                <w:sz w:val="20"/>
              </w:rPr>
              <w:t>Replace identifiers with meaningless tokens</w:t>
            </w:r>
          </w:p>
        </w:tc>
        <w:tc>
          <w:tcPr>
            <w:tcW w:type="dxa" w:w="3312"/>
            <w:vAlign w:val="center"/>
          </w:tcPr>
          <w:p>
            <w:r>
              <w:rPr>
                <w:rFonts w:ascii="Calibri" w:hAnsi="Calibri"/>
                <w:sz w:val="20"/>
              </w:rPr>
              <w:t>Customer token mapping</w:t>
            </w:r>
          </w:p>
        </w:tc>
      </w:tr>
      <w:tr>
        <w:tc>
          <w:tcPr>
            <w:tcW w:type="dxa" w:w="3312"/>
            <w:vAlign w:val="center"/>
          </w:tcPr>
          <w:p>
            <w:r>
              <w:rPr>
                <w:rFonts w:ascii="Calibri" w:hAnsi="Calibri"/>
                <w:sz w:val="20"/>
              </w:rPr>
              <w:t>Encryption</w:t>
            </w:r>
          </w:p>
        </w:tc>
        <w:tc>
          <w:tcPr>
            <w:tcW w:type="dxa" w:w="3312"/>
            <w:vAlign w:val="center"/>
          </w:tcPr>
          <w:p>
            <w:r>
              <w:rPr>
                <w:rFonts w:ascii="Calibri" w:hAnsi="Calibri"/>
                <w:sz w:val="20"/>
              </w:rPr>
              <w:t>Protect data at rest and in transit</w:t>
            </w:r>
          </w:p>
        </w:tc>
        <w:tc>
          <w:tcPr>
            <w:tcW w:type="dxa" w:w="3312"/>
            <w:vAlign w:val="center"/>
          </w:tcPr>
          <w:p>
            <w:r>
              <w:rPr>
                <w:rFonts w:ascii="Calibri" w:hAnsi="Calibri"/>
                <w:sz w:val="20"/>
              </w:rPr>
              <w:t>Managed encryption, TLS</w:t>
            </w:r>
          </w:p>
        </w:tc>
      </w:tr>
      <w:tr>
        <w:tc>
          <w:tcPr>
            <w:tcW w:type="dxa" w:w="3312"/>
            <w:vAlign w:val="center"/>
          </w:tcPr>
          <w:p>
            <w:r>
              <w:rPr>
                <w:rFonts w:ascii="Calibri" w:hAnsi="Calibri"/>
                <w:sz w:val="20"/>
              </w:rPr>
              <w:t>Secrets Management</w:t>
            </w:r>
          </w:p>
        </w:tc>
        <w:tc>
          <w:tcPr>
            <w:tcW w:type="dxa" w:w="3312"/>
            <w:vAlign w:val="center"/>
          </w:tcPr>
          <w:p>
            <w:r>
              <w:rPr>
                <w:rFonts w:ascii="Calibri" w:hAnsi="Calibri"/>
                <w:sz w:val="20"/>
              </w:rPr>
              <w:t>Store credentials securely</w:t>
            </w:r>
          </w:p>
        </w:tc>
        <w:tc>
          <w:tcPr>
            <w:tcW w:type="dxa" w:w="3312"/>
            <w:vAlign w:val="center"/>
          </w:tcPr>
          <w:p>
            <w:r>
              <w:rPr>
                <w:rFonts w:ascii="Calibri" w:hAnsi="Calibri"/>
                <w:sz w:val="20"/>
              </w:rPr>
              <w:t>Vault or managed secrets store</w:t>
            </w:r>
          </w:p>
        </w:tc>
      </w:tr>
    </w:tbl>
    <w:p/>
    <w:p>
      <w:pPr>
        <w:pStyle w:val="ListBullet"/>
      </w:pPr>
      <w:r>
        <w:t>Protect logs and exports if they contain identifiers or sensitive payload snippets.</w:t>
      </w:r>
    </w:p>
    <w:p>
      <w:pPr>
        <w:pStyle w:val="ListBullet"/>
      </w:pPr>
      <w:r>
        <w:t>Prefer least privilege and grant broad access only with clear business justification.</w:t>
      </w:r>
    </w:p>
    <w:p>
      <w:pPr>
        <w:pStyle w:val="ListBullet"/>
      </w:pPr>
      <w:r>
        <w:t>Review derived datasets too; risk can propagate even when original identifiers are removed.</w:t>
      </w:r>
    </w:p>
    <w:p>
      <w:pPr>
        <w:ind w:left="360" w:right="360"/>
        <w:shd w:fill="F3F5F7"/>
      </w:pPr>
      <w:r>
        <w:rPr>
          <w:rFonts w:ascii="Courier New" w:hAnsi="Courier New"/>
          <w:sz w:val="18"/>
        </w:rPr>
        <w:t>```mermaid</w:t>
      </w:r>
    </w:p>
    <w:p>
      <w:pPr>
        <w:ind w:left="360" w:right="360"/>
        <w:shd w:fill="F3F5F7"/>
      </w:pPr>
      <w:r>
        <w:rPr>
          <w:rFonts w:ascii="Courier New" w:hAnsi="Courier New"/>
          <w:sz w:val="18"/>
        </w:rPr>
        <w:t>flowchart LR</w:t>
      </w:r>
    </w:p>
    <w:p>
      <w:pPr>
        <w:ind w:left="360" w:right="360"/>
        <w:shd w:fill="F3F5F7"/>
      </w:pPr>
      <w:r>
        <w:rPr>
          <w:rFonts w:ascii="Courier New" w:hAnsi="Courier New"/>
          <w:sz w:val="18"/>
        </w:rPr>
        <w:t xml:space="preserve">    A[Source Data] --&gt; B[Ingestion]</w:t>
      </w:r>
    </w:p>
    <w:p>
      <w:pPr>
        <w:ind w:left="360" w:right="360"/>
        <w:shd w:fill="F3F5F7"/>
      </w:pPr>
      <w:r>
        <w:rPr>
          <w:rFonts w:ascii="Courier New" w:hAnsi="Courier New"/>
          <w:sz w:val="18"/>
        </w:rPr>
        <w:t xml:space="preserve">    B --&gt; C[Raw Zone]</w:t>
      </w:r>
    </w:p>
    <w:p>
      <w:pPr>
        <w:ind w:left="360" w:right="360"/>
        <w:shd w:fill="F3F5F7"/>
      </w:pPr>
      <w:r>
        <w:rPr>
          <w:rFonts w:ascii="Courier New" w:hAnsi="Courier New"/>
          <w:sz w:val="18"/>
        </w:rPr>
        <w:t xml:space="preserve">    C --&gt; D[Quality Validation]</w:t>
      </w:r>
    </w:p>
    <w:p>
      <w:pPr>
        <w:ind w:left="360" w:right="360"/>
        <w:shd w:fill="F3F5F7"/>
      </w:pPr>
      <w:r>
        <w:rPr>
          <w:rFonts w:ascii="Courier New" w:hAnsi="Courier New"/>
          <w:sz w:val="18"/>
        </w:rPr>
        <w:t xml:space="preserve">    D --&gt; E[Transformation]</w:t>
      </w:r>
    </w:p>
    <w:p>
      <w:pPr>
        <w:ind w:left="360" w:right="360"/>
        <w:shd w:fill="F3F5F7"/>
      </w:pPr>
      <w:r>
        <w:rPr>
          <w:rFonts w:ascii="Courier New" w:hAnsi="Courier New"/>
          <w:sz w:val="18"/>
        </w:rPr>
        <w:t xml:space="preserve">    E --&gt; F[Curated Models]</w:t>
      </w:r>
    </w:p>
    <w:p>
      <w:pPr>
        <w:ind w:left="360" w:right="360"/>
        <w:shd w:fill="F3F5F7"/>
      </w:pPr>
      <w:r>
        <w:rPr>
          <w:rFonts w:ascii="Courier New" w:hAnsi="Courier New"/>
          <w:sz w:val="18"/>
        </w:rPr>
        <w:t xml:space="preserve">    F --&gt; G[BI / ML / APIs]</w:t>
      </w:r>
    </w:p>
    <w:p>
      <w:pPr>
        <w:ind w:left="360" w:right="360"/>
        <w:shd w:fill="F3F5F7"/>
      </w:pPr>
      <w:r>
        <w:rPr>
          <w:rFonts w:ascii="Courier New" w:hAnsi="Courier New"/>
          <w:sz w:val="18"/>
        </w:rPr>
        <w:t xml:space="preserve">    C --&gt; H[Access Control]</w:t>
      </w:r>
    </w:p>
    <w:p>
      <w:pPr>
        <w:ind w:left="360" w:right="360"/>
        <w:shd w:fill="F3F5F7"/>
      </w:pPr>
      <w:r>
        <w:rPr>
          <w:rFonts w:ascii="Courier New" w:hAnsi="Courier New"/>
          <w:sz w:val="18"/>
        </w:rPr>
        <w:t xml:space="preserve">    D --&gt; I[Catalog &amp; Lineage]</w:t>
      </w:r>
    </w:p>
    <w:p>
      <w:pPr>
        <w:ind w:left="360" w:right="360"/>
        <w:shd w:fill="F3F5F7"/>
      </w:pPr>
      <w:r>
        <w:rPr>
          <w:rFonts w:ascii="Courier New" w:hAnsi="Courier New"/>
          <w:sz w:val="18"/>
        </w:rPr>
        <w:t xml:space="preserve">    E --&gt; J[Masking / Tokenization]</w:t>
      </w:r>
    </w:p>
    <w:p>
      <w:pPr>
        <w:ind w:left="360" w:right="360"/>
        <w:shd w:fill="F3F5F7"/>
      </w:pPr>
      <w:r>
        <w:rPr>
          <w:rFonts w:ascii="Courier New" w:hAnsi="Courier New"/>
          <w:sz w:val="18"/>
        </w:rPr>
        <w:t xml:space="preserve">    F --&gt; K[Audit Logs]</w:t>
      </w:r>
    </w:p>
    <w:p>
      <w:pPr>
        <w:ind w:left="360" w:right="360"/>
        <w:shd w:fill="F3F5F7"/>
      </w:pPr>
      <w:r>
        <w:rPr>
          <w:rFonts w:ascii="Courier New" w:hAnsi="Courier New"/>
          <w:sz w:val="18"/>
        </w:rPr>
        <w:t>```</w:t>
      </w:r>
    </w:p>
    <w:p>
      <w:pPr>
        <w:pStyle w:val="Heading1"/>
      </w:pPr>
      <w:r>
        <w:t>13. Compliance and Operational Controls</w:t>
      </w:r>
    </w:p>
    <w:p>
      <w:pPr>
        <w:pStyle w:val="ListBullet"/>
      </w:pPr>
      <w:r>
        <w:t>Retention policies: control how long raw, stage, and curated data are kept.</w:t>
      </w:r>
    </w:p>
    <w:p>
      <w:pPr>
        <w:pStyle w:val="ListBullet"/>
      </w:pPr>
      <w:r>
        <w:t>Consent and purpose limitation: ensure usage is aligned to allowed purpose where required.</w:t>
      </w:r>
    </w:p>
    <w:p>
      <w:pPr>
        <w:pStyle w:val="ListBullet"/>
      </w:pPr>
      <w:r>
        <w:t>Audit trails: record access and changes for accountability.</w:t>
      </w:r>
    </w:p>
    <w:p>
      <w:pPr>
        <w:pStyle w:val="ListBullet"/>
      </w:pPr>
      <w:r>
        <w:t>Data minimization: avoid collecting or exposing unnecessary sensitive data.</w:t>
      </w:r>
    </w:p>
    <w:p>
      <w:pPr>
        <w:pStyle w:val="ListBullet"/>
      </w:pPr>
      <w:r>
        <w:t>Incident response: define procedures when policy breaches or exposure risks occur.</w:t>
      </w:r>
    </w:p>
    <w:p>
      <w:pPr>
        <w:pStyle w:val="Heading2"/>
      </w:pPr>
      <w:r>
        <w:t>Compliance-oriented Questions to Ask</w:t>
      </w:r>
    </w:p>
    <w:p>
      <w:pPr>
        <w:pStyle w:val="ListNumber"/>
      </w:pPr>
      <w:r>
        <w:t>What personally identifiable or sensitive fields are present?</w:t>
      </w:r>
    </w:p>
    <w:p>
      <w:pPr>
        <w:pStyle w:val="ListNumber"/>
      </w:pPr>
      <w:r>
        <w:t>Who actually needs access to those fields?</w:t>
      </w:r>
    </w:p>
    <w:p>
      <w:pPr>
        <w:pStyle w:val="ListNumber"/>
      </w:pPr>
      <w:r>
        <w:t>How long should the data remain in each layer?</w:t>
      </w:r>
    </w:p>
    <w:p>
      <w:pPr>
        <w:pStyle w:val="ListNumber"/>
      </w:pPr>
      <w:r>
        <w:t>Can business use cases be met with masked or aggregated data?</w:t>
      </w:r>
    </w:p>
    <w:p>
      <w:pPr>
        <w:pStyle w:val="ListNumber"/>
      </w:pPr>
      <w:r>
        <w:t>What logging or audit evidence is required for this dataset?</w:t>
      </w:r>
    </w:p>
    <w:p>
      <w:pPr>
        <w:pStyle w:val="Heading1"/>
      </w:pPr>
      <w:r>
        <w:t>14. Serving Data to Consumers</w:t>
      </w:r>
    </w:p>
    <w:p>
      <w:r>
        <w:t>The purpose of robust architecture is to deliver trustworthy outputs to real consumers. Serving patterns determine how curated data is made available to BI, ML, APIs, or operational processes.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Serving Pattern</w:t>
            </w:r>
          </w:p>
        </w:tc>
        <w:tc>
          <w:tcPr>
            <w:tcW w:type="dxa" w:w="3312"/>
            <w:vAlign w:val="center"/>
            <w:shd w:fill="D9E2F3"/>
          </w:tcPr>
          <w:p>
            <w:r>
              <w:rPr>
                <w:rFonts w:ascii="Calibri" w:hAnsi="Calibri"/>
                <w:b/>
                <w:sz w:val="20"/>
              </w:rPr>
              <w:t>Description</w:t>
            </w:r>
          </w:p>
        </w:tc>
        <w:tc>
          <w:tcPr>
            <w:tcW w:type="dxa" w:w="3312"/>
            <w:vAlign w:val="center"/>
            <w:shd w:fill="D9E2F3"/>
          </w:tcPr>
          <w:p>
            <w:r>
              <w:rPr>
                <w:rFonts w:ascii="Calibri" w:hAnsi="Calibri"/>
                <w:b/>
                <w:sz w:val="20"/>
              </w:rPr>
              <w:t>Example</w:t>
            </w:r>
          </w:p>
        </w:tc>
      </w:tr>
      <w:tr>
        <w:tc>
          <w:tcPr>
            <w:tcW w:type="dxa" w:w="3312"/>
            <w:vAlign w:val="center"/>
          </w:tcPr>
          <w:p>
            <w:r>
              <w:rPr>
                <w:rFonts w:ascii="Calibri" w:hAnsi="Calibri"/>
                <w:sz w:val="20"/>
              </w:rPr>
              <w:t>Curated Mart</w:t>
            </w:r>
          </w:p>
        </w:tc>
        <w:tc>
          <w:tcPr>
            <w:tcW w:type="dxa" w:w="3312"/>
            <w:vAlign w:val="center"/>
          </w:tcPr>
          <w:p>
            <w:r>
              <w:rPr>
                <w:rFonts w:ascii="Calibri" w:hAnsi="Calibri"/>
                <w:sz w:val="20"/>
              </w:rPr>
              <w:t>Business-ready dimensional or summary model</w:t>
            </w:r>
          </w:p>
        </w:tc>
        <w:tc>
          <w:tcPr>
            <w:tcW w:type="dxa" w:w="3312"/>
            <w:vAlign w:val="center"/>
          </w:tcPr>
          <w:p>
            <w:r>
              <w:rPr>
                <w:rFonts w:ascii="Calibri" w:hAnsi="Calibri"/>
                <w:sz w:val="20"/>
              </w:rPr>
              <w:t>Sales mart, finance mart</w:t>
            </w:r>
          </w:p>
        </w:tc>
      </w:tr>
      <w:tr>
        <w:tc>
          <w:tcPr>
            <w:tcW w:type="dxa" w:w="3312"/>
            <w:vAlign w:val="center"/>
          </w:tcPr>
          <w:p>
            <w:r>
              <w:rPr>
                <w:rFonts w:ascii="Calibri" w:hAnsi="Calibri"/>
                <w:sz w:val="20"/>
              </w:rPr>
              <w:t>Semantic Model</w:t>
            </w:r>
          </w:p>
        </w:tc>
        <w:tc>
          <w:tcPr>
            <w:tcW w:type="dxa" w:w="3312"/>
            <w:vAlign w:val="center"/>
          </w:tcPr>
          <w:p>
            <w:r>
              <w:rPr>
                <w:rFonts w:ascii="Calibri" w:hAnsi="Calibri"/>
                <w:sz w:val="20"/>
              </w:rPr>
              <w:t>Business layer for measures and relationships</w:t>
            </w:r>
          </w:p>
        </w:tc>
        <w:tc>
          <w:tcPr>
            <w:tcW w:type="dxa" w:w="3312"/>
            <w:vAlign w:val="center"/>
          </w:tcPr>
          <w:p>
            <w:r>
              <w:rPr>
                <w:rFonts w:ascii="Calibri" w:hAnsi="Calibri"/>
                <w:sz w:val="20"/>
              </w:rPr>
              <w:t>Power BI semantic model</w:t>
            </w:r>
          </w:p>
        </w:tc>
      </w:tr>
      <w:tr>
        <w:tc>
          <w:tcPr>
            <w:tcW w:type="dxa" w:w="3312"/>
            <w:vAlign w:val="center"/>
          </w:tcPr>
          <w:p>
            <w:r>
              <w:rPr>
                <w:rFonts w:ascii="Calibri" w:hAnsi="Calibri"/>
                <w:sz w:val="20"/>
              </w:rPr>
              <w:t>Feature Table</w:t>
            </w:r>
          </w:p>
        </w:tc>
        <w:tc>
          <w:tcPr>
            <w:tcW w:type="dxa" w:w="3312"/>
            <w:vAlign w:val="center"/>
          </w:tcPr>
          <w:p>
            <w:r>
              <w:rPr>
                <w:rFonts w:ascii="Calibri" w:hAnsi="Calibri"/>
                <w:sz w:val="20"/>
              </w:rPr>
              <w:t>Prepared machine learning inputs</w:t>
            </w:r>
          </w:p>
        </w:tc>
        <w:tc>
          <w:tcPr>
            <w:tcW w:type="dxa" w:w="3312"/>
            <w:vAlign w:val="center"/>
          </w:tcPr>
          <w:p>
            <w:r>
              <w:rPr>
                <w:rFonts w:ascii="Calibri" w:hAnsi="Calibri"/>
                <w:sz w:val="20"/>
              </w:rPr>
              <w:t>Customer churn features</w:t>
            </w:r>
          </w:p>
        </w:tc>
      </w:tr>
      <w:tr>
        <w:tc>
          <w:tcPr>
            <w:tcW w:type="dxa" w:w="3312"/>
            <w:vAlign w:val="center"/>
          </w:tcPr>
          <w:p>
            <w:r>
              <w:rPr>
                <w:rFonts w:ascii="Calibri" w:hAnsi="Calibri"/>
                <w:sz w:val="20"/>
              </w:rPr>
              <w:t>Operational Export / Reverse ETL</w:t>
            </w:r>
          </w:p>
        </w:tc>
        <w:tc>
          <w:tcPr>
            <w:tcW w:type="dxa" w:w="3312"/>
            <w:vAlign w:val="center"/>
          </w:tcPr>
          <w:p>
            <w:r>
              <w:rPr>
                <w:rFonts w:ascii="Calibri" w:hAnsi="Calibri"/>
                <w:sz w:val="20"/>
              </w:rPr>
              <w:t>Push results into operational tools</w:t>
            </w:r>
          </w:p>
        </w:tc>
        <w:tc>
          <w:tcPr>
            <w:tcW w:type="dxa" w:w="3312"/>
            <w:vAlign w:val="center"/>
          </w:tcPr>
          <w:p>
            <w:r>
              <w:rPr>
                <w:rFonts w:ascii="Calibri" w:hAnsi="Calibri"/>
                <w:sz w:val="20"/>
              </w:rPr>
              <w:t>CRM scores, campaign audiences</w:t>
            </w:r>
          </w:p>
        </w:tc>
      </w:tr>
      <w:tr>
        <w:tc>
          <w:tcPr>
            <w:tcW w:type="dxa" w:w="3312"/>
            <w:vAlign w:val="center"/>
          </w:tcPr>
          <w:p>
            <w:r>
              <w:rPr>
                <w:rFonts w:ascii="Calibri" w:hAnsi="Calibri"/>
                <w:sz w:val="20"/>
              </w:rPr>
              <w:t>API Serving</w:t>
            </w:r>
          </w:p>
        </w:tc>
        <w:tc>
          <w:tcPr>
            <w:tcW w:type="dxa" w:w="3312"/>
            <w:vAlign w:val="center"/>
          </w:tcPr>
          <w:p>
            <w:r>
              <w:rPr>
                <w:rFonts w:ascii="Calibri" w:hAnsi="Calibri"/>
                <w:sz w:val="20"/>
              </w:rPr>
              <w:t>Expose curated information programmatically</w:t>
            </w:r>
          </w:p>
        </w:tc>
        <w:tc>
          <w:tcPr>
            <w:tcW w:type="dxa" w:w="3312"/>
            <w:vAlign w:val="center"/>
          </w:tcPr>
          <w:p>
            <w:r>
              <w:rPr>
                <w:rFonts w:ascii="Calibri" w:hAnsi="Calibri"/>
                <w:sz w:val="20"/>
              </w:rPr>
              <w:t>Customer summary endpoint</w:t>
            </w:r>
          </w:p>
        </w:tc>
      </w:tr>
    </w:tbl>
    <w:p/>
    <w:p>
      <w:pPr>
        <w:pStyle w:val="Heading2"/>
      </w:pPr>
      <w:r>
        <w:t>Quality Before Serving</w:t>
      </w:r>
    </w:p>
    <w:p>
      <w:pPr>
        <w:pStyle w:val="ListBullet"/>
      </w:pPr>
      <w:r>
        <w:t>Do not publish until required validations pass.</w:t>
      </w:r>
    </w:p>
    <w:p>
      <w:pPr>
        <w:pStyle w:val="ListBullet"/>
      </w:pPr>
      <w:r>
        <w:t>Attach refresh timestamp and lineage context where possible.</w:t>
      </w:r>
    </w:p>
    <w:p>
      <w:pPr>
        <w:pStyle w:val="ListBullet"/>
      </w:pPr>
      <w:r>
        <w:t>Document metric definitions to avoid semantic drift between tools.</w:t>
      </w:r>
    </w:p>
    <w:p>
      <w:pPr>
        <w:pStyle w:val="Heading1"/>
      </w:pPr>
      <w:r>
        <w:t>15. Sample Operational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Metric</w:t>
            </w:r>
          </w:p>
        </w:tc>
        <w:tc>
          <w:tcPr>
            <w:tcW w:type="dxa" w:w="3312"/>
            <w:vAlign w:val="center"/>
            <w:shd w:fill="D9E2F3"/>
          </w:tcPr>
          <w:p>
            <w:r>
              <w:rPr>
                <w:rFonts w:ascii="Calibri" w:hAnsi="Calibri"/>
                <w:b/>
                <w:sz w:val="20"/>
              </w:rPr>
              <w:t>Definition</w:t>
            </w:r>
          </w:p>
        </w:tc>
        <w:tc>
          <w:tcPr>
            <w:tcW w:type="dxa" w:w="3312"/>
            <w:vAlign w:val="center"/>
            <w:shd w:fill="D9E2F3"/>
          </w:tcPr>
          <w:p>
            <w:r>
              <w:rPr>
                <w:rFonts w:ascii="Calibri" w:hAnsi="Calibri"/>
                <w:b/>
                <w:sz w:val="20"/>
              </w:rPr>
              <w:t>Why It Matters</w:t>
            </w:r>
          </w:p>
        </w:tc>
      </w:tr>
      <w:tr>
        <w:tc>
          <w:tcPr>
            <w:tcW w:type="dxa" w:w="3312"/>
            <w:vAlign w:val="center"/>
          </w:tcPr>
          <w:p>
            <w:r>
              <w:rPr>
                <w:rFonts w:ascii="Calibri" w:hAnsi="Calibri"/>
                <w:sz w:val="20"/>
              </w:rPr>
              <w:t>Pipeline Success Rate</w:t>
            </w:r>
          </w:p>
        </w:tc>
        <w:tc>
          <w:tcPr>
            <w:tcW w:type="dxa" w:w="3312"/>
            <w:vAlign w:val="center"/>
          </w:tcPr>
          <w:p>
            <w:r>
              <w:rPr>
                <w:rFonts w:ascii="Calibri" w:hAnsi="Calibri"/>
                <w:sz w:val="20"/>
              </w:rPr>
              <w:t>Share of runs that completed successfully</w:t>
            </w:r>
          </w:p>
        </w:tc>
        <w:tc>
          <w:tcPr>
            <w:tcW w:type="dxa" w:w="3312"/>
            <w:vAlign w:val="center"/>
          </w:tcPr>
          <w:p>
            <w:r>
              <w:rPr>
                <w:rFonts w:ascii="Calibri" w:hAnsi="Calibri"/>
                <w:sz w:val="20"/>
              </w:rPr>
              <w:t>Indicates stability over time</w:t>
            </w:r>
          </w:p>
        </w:tc>
      </w:tr>
      <w:tr>
        <w:tc>
          <w:tcPr>
            <w:tcW w:type="dxa" w:w="3312"/>
            <w:vAlign w:val="center"/>
          </w:tcPr>
          <w:p>
            <w:r>
              <w:rPr>
                <w:rFonts w:ascii="Calibri" w:hAnsi="Calibri"/>
                <w:sz w:val="20"/>
              </w:rPr>
              <w:t>Data Freshness</w:t>
            </w:r>
          </w:p>
        </w:tc>
        <w:tc>
          <w:tcPr>
            <w:tcW w:type="dxa" w:w="3312"/>
            <w:vAlign w:val="center"/>
          </w:tcPr>
          <w:p>
            <w:r>
              <w:rPr>
                <w:rFonts w:ascii="Calibri" w:hAnsi="Calibri"/>
                <w:sz w:val="20"/>
              </w:rPr>
              <w:t>Age of the latest successfully loaded data</w:t>
            </w:r>
          </w:p>
        </w:tc>
        <w:tc>
          <w:tcPr>
            <w:tcW w:type="dxa" w:w="3312"/>
            <w:vAlign w:val="center"/>
          </w:tcPr>
          <w:p>
            <w:r>
              <w:rPr>
                <w:rFonts w:ascii="Calibri" w:hAnsi="Calibri"/>
                <w:sz w:val="20"/>
              </w:rPr>
              <w:t>Shows whether consumers can trust recency</w:t>
            </w:r>
          </w:p>
        </w:tc>
      </w:tr>
      <w:tr>
        <w:tc>
          <w:tcPr>
            <w:tcW w:type="dxa" w:w="3312"/>
            <w:vAlign w:val="center"/>
          </w:tcPr>
          <w:p>
            <w:r>
              <w:rPr>
                <w:rFonts w:ascii="Calibri" w:hAnsi="Calibri"/>
                <w:sz w:val="20"/>
              </w:rPr>
              <w:t>Load Completeness</w:t>
            </w:r>
          </w:p>
        </w:tc>
        <w:tc>
          <w:tcPr>
            <w:tcW w:type="dxa" w:w="3312"/>
            <w:vAlign w:val="center"/>
          </w:tcPr>
          <w:p>
            <w:r>
              <w:rPr>
                <w:rFonts w:ascii="Calibri" w:hAnsi="Calibri"/>
                <w:sz w:val="20"/>
              </w:rPr>
              <w:t>Expected vs actual row volume</w:t>
            </w:r>
          </w:p>
        </w:tc>
        <w:tc>
          <w:tcPr>
            <w:tcW w:type="dxa" w:w="3312"/>
            <w:vAlign w:val="center"/>
          </w:tcPr>
          <w:p>
            <w:r>
              <w:rPr>
                <w:rFonts w:ascii="Calibri" w:hAnsi="Calibri"/>
                <w:sz w:val="20"/>
              </w:rPr>
              <w:t>Detects missing or partial loads</w:t>
            </w:r>
          </w:p>
        </w:tc>
      </w:tr>
      <w:tr>
        <w:tc>
          <w:tcPr>
            <w:tcW w:type="dxa" w:w="3312"/>
            <w:vAlign w:val="center"/>
          </w:tcPr>
          <w:p>
            <w:r>
              <w:rPr>
                <w:rFonts w:ascii="Calibri" w:hAnsi="Calibri"/>
                <w:sz w:val="20"/>
              </w:rPr>
              <w:t>Reject Rate</w:t>
            </w:r>
          </w:p>
        </w:tc>
        <w:tc>
          <w:tcPr>
            <w:tcW w:type="dxa" w:w="3312"/>
            <w:vAlign w:val="center"/>
          </w:tcPr>
          <w:p>
            <w:r>
              <w:rPr>
                <w:rFonts w:ascii="Calibri" w:hAnsi="Calibri"/>
                <w:sz w:val="20"/>
              </w:rPr>
              <w:t>Percentage of records failing validation</w:t>
            </w:r>
          </w:p>
        </w:tc>
        <w:tc>
          <w:tcPr>
            <w:tcW w:type="dxa" w:w="3312"/>
            <w:vAlign w:val="center"/>
          </w:tcPr>
          <w:p>
            <w:r>
              <w:rPr>
                <w:rFonts w:ascii="Calibri" w:hAnsi="Calibri"/>
                <w:sz w:val="20"/>
              </w:rPr>
              <w:t>Highlights quality degradation</w:t>
            </w:r>
          </w:p>
        </w:tc>
      </w:tr>
      <w:tr>
        <w:tc>
          <w:tcPr>
            <w:tcW w:type="dxa" w:w="3312"/>
            <w:vAlign w:val="center"/>
          </w:tcPr>
          <w:p>
            <w:r>
              <w:rPr>
                <w:rFonts w:ascii="Calibri" w:hAnsi="Calibri"/>
                <w:sz w:val="20"/>
              </w:rPr>
              <w:t>Average Runtime</w:t>
            </w:r>
          </w:p>
        </w:tc>
        <w:tc>
          <w:tcPr>
            <w:tcW w:type="dxa" w:w="3312"/>
            <w:vAlign w:val="center"/>
          </w:tcPr>
          <w:p>
            <w:r>
              <w:rPr>
                <w:rFonts w:ascii="Calibri" w:hAnsi="Calibri"/>
                <w:sz w:val="20"/>
              </w:rPr>
              <w:t>Mean or median execution time</w:t>
            </w:r>
          </w:p>
        </w:tc>
        <w:tc>
          <w:tcPr>
            <w:tcW w:type="dxa" w:w="3312"/>
            <w:vAlign w:val="center"/>
          </w:tcPr>
          <w:p>
            <w:r>
              <w:rPr>
                <w:rFonts w:ascii="Calibri" w:hAnsi="Calibri"/>
                <w:sz w:val="20"/>
              </w:rPr>
              <w:t>Shows capacity or efficiency shifts</w:t>
            </w:r>
          </w:p>
        </w:tc>
      </w:tr>
      <w:tr>
        <w:tc>
          <w:tcPr>
            <w:tcW w:type="dxa" w:w="3312"/>
            <w:vAlign w:val="center"/>
          </w:tcPr>
          <w:p>
            <w:r>
              <w:rPr>
                <w:rFonts w:ascii="Calibri" w:hAnsi="Calibri"/>
                <w:sz w:val="20"/>
              </w:rPr>
              <w:t>Alert Frequency</w:t>
            </w:r>
          </w:p>
        </w:tc>
        <w:tc>
          <w:tcPr>
            <w:tcW w:type="dxa" w:w="3312"/>
            <w:vAlign w:val="center"/>
          </w:tcPr>
          <w:p>
            <w:r>
              <w:rPr>
                <w:rFonts w:ascii="Calibri" w:hAnsi="Calibri"/>
                <w:sz w:val="20"/>
              </w:rPr>
              <w:t>Number of operator alerts over time</w:t>
            </w:r>
          </w:p>
        </w:tc>
        <w:tc>
          <w:tcPr>
            <w:tcW w:type="dxa" w:w="3312"/>
            <w:vAlign w:val="center"/>
          </w:tcPr>
          <w:p>
            <w:r>
              <w:rPr>
                <w:rFonts w:ascii="Calibri" w:hAnsi="Calibri"/>
                <w:sz w:val="20"/>
              </w:rPr>
              <w:t>Helps detect noisy or unstable pipelines</w:t>
            </w:r>
          </w:p>
        </w:tc>
      </w:tr>
    </w:tbl>
    <w:p/>
    <w:p>
      <w:pPr>
        <w:pStyle w:val="Heading1"/>
      </w:pPr>
      <w:r>
        <w:t>16. Day 3 Hands-On Exercises</w:t>
      </w:r>
    </w:p>
    <w:p>
      <w:pPr>
        <w:pStyle w:val="ListNumber"/>
      </w:pPr>
      <w:r>
        <w:t>Draw a DAG for a daily pipeline with extract, validate, transform, publish, and notify steps.</w:t>
      </w:r>
    </w:p>
    <w:p>
      <w:pPr>
        <w:pStyle w:val="ListNumber"/>
      </w:pPr>
      <w:r>
        <w:t>Define which failures should retry automatically and which should fail fast.</w:t>
      </w:r>
    </w:p>
    <w:p>
      <w:pPr>
        <w:pStyle w:val="ListNumber"/>
      </w:pPr>
      <w:r>
        <w:t>Design a monitoring table with run IDs, row counts, latency, and error codes.</w:t>
      </w:r>
    </w:p>
    <w:p>
      <w:pPr>
        <w:pStyle w:val="ListNumber"/>
      </w:pPr>
      <w:r>
        <w:t>Map a medallion architecture for a business case using Bronze, Silver, and Gold layers.</w:t>
      </w:r>
    </w:p>
    <w:p>
      <w:pPr>
        <w:pStyle w:val="ListNumber"/>
      </w:pPr>
      <w:r>
        <w:t>Define at least five governance controls for a pipeline processing customer data.</w:t>
      </w:r>
    </w:p>
    <w:p>
      <w:pPr>
        <w:pStyle w:val="ListNumber"/>
      </w:pPr>
      <w:r>
        <w:t>Explain where masking or tokenization should occur in a customer-data pipeline.</w:t>
      </w:r>
    </w:p>
    <w:p>
      <w:pPr>
        <w:pStyle w:val="ListNumber"/>
      </w:pPr>
      <w:r>
        <w:t>Identify a scenario requiring distributed processing and justify it.</w:t>
      </w:r>
    </w:p>
    <w:p>
      <w:pPr>
        <w:pStyle w:val="ListNumber"/>
      </w:pPr>
      <w:r>
        <w:t>Draft a high-value alert payload for an operations team.</w:t>
      </w:r>
    </w:p>
    <w:p>
      <w:pPr>
        <w:pStyle w:val="Heading1"/>
      </w:pPr>
      <w:r>
        <w:t>17. Trainer Guidance</w:t>
      </w:r>
    </w:p>
    <w:p>
      <w:pPr>
        <w:pStyle w:val="ListBullet"/>
      </w:pPr>
      <w:r>
        <w:t>Use concrete incidents such as late files, schema drift, duplicate business keys, or expired credentials to make the discussion practical.</w:t>
      </w:r>
    </w:p>
    <w:p>
      <w:pPr>
        <w:pStyle w:val="ListBullet"/>
      </w:pPr>
      <w:r>
        <w:t>When teaching governance, focus on enabling trusted use rather than only restriction.</w:t>
      </w:r>
    </w:p>
    <w:p>
      <w:pPr>
        <w:pStyle w:val="ListBullet"/>
      </w:pPr>
      <w:r>
        <w:t>Explain that operator experience is part of pipeline design: clarity, context, and recoverability matter.</w:t>
      </w:r>
    </w:p>
    <w:p>
      <w:pPr>
        <w:pStyle w:val="ListBullet"/>
      </w:pPr>
      <w:r>
        <w:t>Use tables and diagrams together so learners connect architecture with operational behavior.</w:t>
      </w:r>
    </w:p>
    <w:p>
      <w:pPr>
        <w:pStyle w:val="ListBullet"/>
      </w:pPr>
      <w:r>
        <w:t>Keep reinforcing the difference between classroom examples and production-grade controls.</w:t>
      </w:r>
    </w:p>
    <w:p>
      <w:pPr>
        <w:pStyle w:val="Heading1"/>
      </w:pPr>
      <w:r>
        <w:t>18. Day 3 Key Takeaways</w:t>
      </w:r>
    </w:p>
    <w:p>
      <w:pPr>
        <w:pStyle w:val="ListBullet"/>
      </w:pPr>
      <w:r>
        <w:t>Robust pipelines require orchestration, observability, error handling, and security by design.</w:t>
      </w:r>
    </w:p>
    <w:p>
      <w:pPr>
        <w:pStyle w:val="ListBullet"/>
      </w:pPr>
      <w:r>
        <w:t>Monitoring, logging, and alerting are product features of a modern data platform, not optional extras.</w:t>
      </w:r>
    </w:p>
    <w:p>
      <w:pPr>
        <w:pStyle w:val="ListBullet"/>
      </w:pPr>
      <w:r>
        <w:t>Cloud-native and distributed systems offer scale and flexibility but need cost discipline and governance.</w:t>
      </w:r>
    </w:p>
    <w:p>
      <w:pPr>
        <w:pStyle w:val="ListBullet"/>
      </w:pPr>
      <w:r>
        <w:t>Data governance, security, and compliance should protect raw, staged, curated, and served data.</w:t>
      </w:r>
    </w:p>
    <w:p>
      <w:pPr>
        <w:pStyle w:val="ListBullet"/>
      </w:pPr>
      <w:r>
        <w:t>A successful data pipeline is one that reliably delivers trustworthy outputs to consumers with a clear operational model.</w:t>
      </w:r>
    </w:p>
    <w:p>
      <w:pPr>
        <w:pStyle w:val="Heading1"/>
      </w:pPr>
      <w:r>
        <w:t>Appendix. Quick Reference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Concept</w:t>
            </w:r>
          </w:p>
        </w:tc>
        <w:tc>
          <w:tcPr>
            <w:tcW w:type="dxa" w:w="3312"/>
            <w:vAlign w:val="center"/>
            <w:shd w:fill="D9E2F3"/>
          </w:tcPr>
          <w:p>
            <w:r>
              <w:rPr>
                <w:rFonts w:ascii="Calibri" w:hAnsi="Calibri"/>
                <w:b/>
                <w:sz w:val="20"/>
              </w:rPr>
              <w:t>Short Meaning</w:t>
            </w:r>
          </w:p>
        </w:tc>
        <w:tc>
          <w:tcPr>
            <w:tcW w:type="dxa" w:w="3312"/>
            <w:vAlign w:val="center"/>
            <w:shd w:fill="D9E2F3"/>
          </w:tcPr>
          <w:p>
            <w:r>
              <w:rPr>
                <w:rFonts w:ascii="Calibri" w:hAnsi="Calibri"/>
                <w:b/>
                <w:sz w:val="20"/>
              </w:rPr>
              <w:t>Example Tool / Pattern</w:t>
            </w:r>
          </w:p>
        </w:tc>
      </w:tr>
      <w:tr>
        <w:tc>
          <w:tcPr>
            <w:tcW w:type="dxa" w:w="3312"/>
            <w:vAlign w:val="center"/>
          </w:tcPr>
          <w:p>
            <w:r>
              <w:rPr>
                <w:rFonts w:ascii="Calibri" w:hAnsi="Calibri"/>
                <w:sz w:val="20"/>
              </w:rPr>
              <w:t>Orchestration</w:t>
            </w:r>
          </w:p>
        </w:tc>
        <w:tc>
          <w:tcPr>
            <w:tcW w:type="dxa" w:w="3312"/>
            <w:vAlign w:val="center"/>
          </w:tcPr>
          <w:p>
            <w:r>
              <w:rPr>
                <w:rFonts w:ascii="Calibri" w:hAnsi="Calibri"/>
                <w:sz w:val="20"/>
              </w:rPr>
              <w:t>Control sequence and retries</w:t>
            </w:r>
          </w:p>
        </w:tc>
        <w:tc>
          <w:tcPr>
            <w:tcW w:type="dxa" w:w="3312"/>
            <w:vAlign w:val="center"/>
          </w:tcPr>
          <w:p>
            <w:r>
              <w:rPr>
                <w:rFonts w:ascii="Calibri" w:hAnsi="Calibri"/>
                <w:sz w:val="20"/>
              </w:rPr>
              <w:t>Fabric Data Pipeline, Airflow</w:t>
            </w:r>
          </w:p>
        </w:tc>
      </w:tr>
      <w:tr>
        <w:tc>
          <w:tcPr>
            <w:tcW w:type="dxa" w:w="3312"/>
            <w:vAlign w:val="center"/>
          </w:tcPr>
          <w:p>
            <w:r>
              <w:rPr>
                <w:rFonts w:ascii="Calibri" w:hAnsi="Calibri"/>
                <w:sz w:val="20"/>
              </w:rPr>
              <w:t>Monitoring</w:t>
            </w:r>
          </w:p>
        </w:tc>
        <w:tc>
          <w:tcPr>
            <w:tcW w:type="dxa" w:w="3312"/>
            <w:vAlign w:val="center"/>
          </w:tcPr>
          <w:p>
            <w:r>
              <w:rPr>
                <w:rFonts w:ascii="Calibri" w:hAnsi="Calibri"/>
                <w:sz w:val="20"/>
              </w:rPr>
              <w:t>Track health and freshness</w:t>
            </w:r>
          </w:p>
        </w:tc>
        <w:tc>
          <w:tcPr>
            <w:tcW w:type="dxa" w:w="3312"/>
            <w:vAlign w:val="center"/>
          </w:tcPr>
          <w:p>
            <w:r>
              <w:rPr>
                <w:rFonts w:ascii="Calibri" w:hAnsi="Calibri"/>
                <w:sz w:val="20"/>
              </w:rPr>
              <w:t>Monitoring Hub, alerts, audit tables</w:t>
            </w:r>
          </w:p>
        </w:tc>
      </w:tr>
      <w:tr>
        <w:tc>
          <w:tcPr>
            <w:tcW w:type="dxa" w:w="3312"/>
            <w:vAlign w:val="center"/>
          </w:tcPr>
          <w:p>
            <w:r>
              <w:rPr>
                <w:rFonts w:ascii="Calibri" w:hAnsi="Calibri"/>
                <w:sz w:val="20"/>
              </w:rPr>
              <w:t>Logging</w:t>
            </w:r>
          </w:p>
        </w:tc>
        <w:tc>
          <w:tcPr>
            <w:tcW w:type="dxa" w:w="3312"/>
            <w:vAlign w:val="center"/>
          </w:tcPr>
          <w:p>
            <w:r>
              <w:rPr>
                <w:rFonts w:ascii="Calibri" w:hAnsi="Calibri"/>
                <w:sz w:val="20"/>
              </w:rPr>
              <w:t>Capture execution details</w:t>
            </w:r>
          </w:p>
        </w:tc>
        <w:tc>
          <w:tcPr>
            <w:tcW w:type="dxa" w:w="3312"/>
            <w:vAlign w:val="center"/>
          </w:tcPr>
          <w:p>
            <w:r>
              <w:rPr>
                <w:rFonts w:ascii="Calibri" w:hAnsi="Calibri"/>
                <w:sz w:val="20"/>
              </w:rPr>
              <w:t>Structured logs, run history</w:t>
            </w:r>
          </w:p>
        </w:tc>
      </w:tr>
      <w:tr>
        <w:tc>
          <w:tcPr>
            <w:tcW w:type="dxa" w:w="3312"/>
            <w:vAlign w:val="center"/>
          </w:tcPr>
          <w:p>
            <w:r>
              <w:rPr>
                <w:rFonts w:ascii="Calibri" w:hAnsi="Calibri"/>
                <w:sz w:val="20"/>
              </w:rPr>
              <w:t>Governance</w:t>
            </w:r>
          </w:p>
        </w:tc>
        <w:tc>
          <w:tcPr>
            <w:tcW w:type="dxa" w:w="3312"/>
            <w:vAlign w:val="center"/>
          </w:tcPr>
          <w:p>
            <w:r>
              <w:rPr>
                <w:rFonts w:ascii="Calibri" w:hAnsi="Calibri"/>
                <w:sz w:val="20"/>
              </w:rPr>
              <w:t>Control ownership and trust</w:t>
            </w:r>
          </w:p>
        </w:tc>
        <w:tc>
          <w:tcPr>
            <w:tcW w:type="dxa" w:w="3312"/>
            <w:vAlign w:val="center"/>
          </w:tcPr>
          <w:p>
            <w:r>
              <w:rPr>
                <w:rFonts w:ascii="Calibri" w:hAnsi="Calibri"/>
                <w:sz w:val="20"/>
              </w:rPr>
              <w:t>Catalog, lineage, stewardship</w:t>
            </w:r>
          </w:p>
        </w:tc>
      </w:tr>
      <w:tr>
        <w:tc>
          <w:tcPr>
            <w:tcW w:type="dxa" w:w="3312"/>
            <w:vAlign w:val="center"/>
          </w:tcPr>
          <w:p>
            <w:r>
              <w:rPr>
                <w:rFonts w:ascii="Calibri" w:hAnsi="Calibri"/>
                <w:sz w:val="20"/>
              </w:rPr>
              <w:t>Security</w:t>
            </w:r>
          </w:p>
        </w:tc>
        <w:tc>
          <w:tcPr>
            <w:tcW w:type="dxa" w:w="3312"/>
            <w:vAlign w:val="center"/>
          </w:tcPr>
          <w:p>
            <w:r>
              <w:rPr>
                <w:rFonts w:ascii="Calibri" w:hAnsi="Calibri"/>
                <w:sz w:val="20"/>
              </w:rPr>
              <w:t>Protect data access and exposure</w:t>
            </w:r>
          </w:p>
        </w:tc>
        <w:tc>
          <w:tcPr>
            <w:tcW w:type="dxa" w:w="3312"/>
            <w:vAlign w:val="center"/>
          </w:tcPr>
          <w:p>
            <w:r>
              <w:rPr>
                <w:rFonts w:ascii="Calibri" w:hAnsi="Calibri"/>
                <w:sz w:val="20"/>
              </w:rPr>
              <w:t>RBAC, masking, encryption</w:t>
            </w:r>
          </w:p>
        </w:tc>
      </w:tr>
      <w:tr>
        <w:tc>
          <w:tcPr>
            <w:tcW w:type="dxa" w:w="3312"/>
            <w:vAlign w:val="center"/>
          </w:tcPr>
          <w:p>
            <w:r>
              <w:rPr>
                <w:rFonts w:ascii="Calibri" w:hAnsi="Calibri"/>
                <w:sz w:val="20"/>
              </w:rPr>
              <w:t>Distributed Processing</w:t>
            </w:r>
          </w:p>
        </w:tc>
        <w:tc>
          <w:tcPr>
            <w:tcW w:type="dxa" w:w="3312"/>
            <w:vAlign w:val="center"/>
          </w:tcPr>
          <w:p>
            <w:r>
              <w:rPr>
                <w:rFonts w:ascii="Calibri" w:hAnsi="Calibri"/>
                <w:sz w:val="20"/>
              </w:rPr>
              <w:t>Scale transformations across partitions</w:t>
            </w:r>
          </w:p>
        </w:tc>
        <w:tc>
          <w:tcPr>
            <w:tcW w:type="dxa" w:w="3312"/>
            <w:vAlign w:val="center"/>
          </w:tcPr>
          <w:p>
            <w:r>
              <w:rPr>
                <w:rFonts w:ascii="Calibri" w:hAnsi="Calibri"/>
                <w:sz w:val="20"/>
              </w:rPr>
              <w:t>Spark</w:t>
            </w:r>
          </w:p>
        </w:tc>
      </w:tr>
      <w:tr>
        <w:tc>
          <w:tcPr>
            <w:tcW w:type="dxa" w:w="3312"/>
            <w:vAlign w:val="center"/>
          </w:tcPr>
          <w:p>
            <w:r>
              <w:rPr>
                <w:rFonts w:ascii="Calibri" w:hAnsi="Calibri"/>
                <w:sz w:val="20"/>
              </w:rPr>
              <w:t>Serving Layer</w:t>
            </w:r>
          </w:p>
        </w:tc>
        <w:tc>
          <w:tcPr>
            <w:tcW w:type="dxa" w:w="3312"/>
            <w:vAlign w:val="center"/>
          </w:tcPr>
          <w:p>
            <w:r>
              <w:rPr>
                <w:rFonts w:ascii="Calibri" w:hAnsi="Calibri"/>
                <w:sz w:val="20"/>
              </w:rPr>
              <w:t>Deliver curated outputs</w:t>
            </w:r>
          </w:p>
        </w:tc>
        <w:tc>
          <w:tcPr>
            <w:tcW w:type="dxa" w:w="3312"/>
            <w:vAlign w:val="center"/>
          </w:tcPr>
          <w:p>
            <w:r>
              <w:rPr>
                <w:rFonts w:ascii="Calibri" w:hAnsi="Calibri"/>
                <w:sz w:val="20"/>
              </w:rPr>
              <w:t>Marts, semantic models, APIs</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