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352459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3524595"/>
                    </a:xfrm>
                    <a:prstGeom prst="rect">
                      <a:avLst/>
                    </a:prstGeom>
                    <a:noFill/>
                    <a:ln w="254000" cap="rnd">
                      <a:noFill/>
                    </a:ln>
                    <a:effectLst/>
                  </pic:spPr>
                </pic:pic>
              </a:graphicData>
            </a:graphic>
          </wp:inline>
        </w:drawing>
      </w:r>
    </w:p>
    <w:bookmarkEnd w:id="0"/>
    <w:bookmarkEnd w:id="1"/>
    <w:bookmarkEnd w:id="2"/>
    <w:bookmarkEnd w:id="3"/>
    <w:bookmarkEnd w:id="4"/>
    <w:p w:rsidR="00C6554A" w:rsidRDefault="005A6C02" w:rsidP="00C6554A">
      <w:pPr>
        <w:pStyle w:val="Title"/>
      </w:pPr>
      <w:r>
        <w:t>DCIM Technology Adoption</w:t>
      </w:r>
    </w:p>
    <w:p w:rsidR="00701766" w:rsidRPr="00D5413C" w:rsidRDefault="00DD0E0A" w:rsidP="00701766">
      <w:pPr>
        <w:pStyle w:val="Subtitle"/>
      </w:pPr>
      <w:r>
        <w:t>A Practioner’s insights</w:t>
      </w:r>
    </w:p>
    <w:p w:rsidR="00914313" w:rsidRDefault="007C1D28" w:rsidP="00C6554A">
      <w:pPr>
        <w:pStyle w:val="ContactInfo"/>
      </w:pPr>
      <w:r>
        <w:t>Phil Pennington</w:t>
      </w:r>
      <w:r w:rsidR="00C6554A">
        <w:t xml:space="preserve"> | </w:t>
      </w:r>
      <w:r w:rsidR="00425F38">
        <w:t>PhilPennington</w:t>
      </w:r>
      <w:r>
        <w:t>.com</w:t>
      </w:r>
      <w:r w:rsidR="00C6554A">
        <w:t xml:space="preserve"> |</w:t>
      </w:r>
      <w:r w:rsidR="00C6554A" w:rsidRPr="00D5413C">
        <w:t xml:space="preserve"> </w:t>
      </w:r>
      <w:r w:rsidR="007D00F6">
        <w:t>February</w:t>
      </w:r>
      <w:r w:rsidR="00425F38">
        <w:t>, 2017</w:t>
      </w:r>
    </w:p>
    <w:p w:rsidR="00C6554A" w:rsidRDefault="00C6554A" w:rsidP="00C6554A">
      <w:pPr>
        <w:pStyle w:val="ContactInfo"/>
      </w:pPr>
      <w:r>
        <w:br w:type="page"/>
      </w:r>
    </w:p>
    <w:p w:rsidR="00C6554A" w:rsidRDefault="00F65F32" w:rsidP="00C6554A">
      <w:pPr>
        <w:pStyle w:val="Heading1"/>
      </w:pPr>
      <w:r>
        <w:lastRenderedPageBreak/>
        <w:t>Data Center Infrastructure Management (DCIM)</w:t>
      </w:r>
    </w:p>
    <w:p w:rsidR="00C6554A" w:rsidRDefault="00D9778F" w:rsidP="00D9778F">
      <w:r>
        <w:t>What is?</w:t>
      </w:r>
    </w:p>
    <w:p w:rsidR="00D9778F" w:rsidRDefault="00D9778F" w:rsidP="00D9778F">
      <w:r>
        <w:t>Motivations?</w:t>
      </w:r>
    </w:p>
    <w:p w:rsidR="00D9778F" w:rsidRDefault="002024A8" w:rsidP="00D9778F">
      <w:r>
        <w:t>Summary info</w:t>
      </w:r>
    </w:p>
    <w:p w:rsidR="002024A8" w:rsidRDefault="002024A8" w:rsidP="00D9778F">
      <w:r>
        <w:t>http://datacenterknowledge.com</w:t>
      </w:r>
    </w:p>
    <w:p w:rsidR="002024A8" w:rsidRDefault="002024A8" w:rsidP="00D9778F"/>
    <w:p w:rsidR="00DA6D1B" w:rsidRDefault="00DA6D1B">
      <w:r>
        <w:br w:type="page"/>
      </w:r>
    </w:p>
    <w:p w:rsidR="00C6554A" w:rsidRPr="00514122" w:rsidRDefault="00C6554A" w:rsidP="00D9778F">
      <w:pPr>
        <w:pStyle w:val="ListBullet"/>
        <w:numPr>
          <w:ilvl w:val="0"/>
          <w:numId w:val="0"/>
        </w:numPr>
        <w:ind w:left="720"/>
      </w:pPr>
    </w:p>
    <w:p w:rsidR="00C6554A" w:rsidRPr="00D5413C" w:rsidRDefault="00D9778F" w:rsidP="00C6554A">
      <w:pPr>
        <w:pStyle w:val="Heading2"/>
      </w:pPr>
      <w:r>
        <w:t xml:space="preserve">Operational </w:t>
      </w:r>
      <w:r w:rsidR="00476160">
        <w:t>readiness</w:t>
      </w:r>
    </w:p>
    <w:p w:rsidR="00DD0E0A" w:rsidRDefault="00E37F1A" w:rsidP="00D9778F">
      <w:r>
        <w:t xml:space="preserve">Everyone naturally expects consistent data.   Good business decisions depend upon insights gained from consistent business operations </w:t>
      </w:r>
      <w:r w:rsidR="00F33121">
        <w:t>analytics</w:t>
      </w:r>
      <w:r>
        <w:t xml:space="preserve">.  Even so, few seem to understand the intrinsic relationship between </w:t>
      </w:r>
      <w:r w:rsidR="00F33121">
        <w:t>business</w:t>
      </w:r>
      <w:r>
        <w:t xml:space="preserve"> operations</w:t>
      </w:r>
      <w:r w:rsidR="004013E2">
        <w:t xml:space="preserve"> capability</w:t>
      </w:r>
      <w:r>
        <w:t xml:space="preserve"> and </w:t>
      </w:r>
      <w:r w:rsidR="004013E2">
        <w:t xml:space="preserve">resultant quality </w:t>
      </w:r>
      <w:r w:rsidR="009C29BF">
        <w:t xml:space="preserve">of </w:t>
      </w:r>
      <w:r w:rsidR="004013E2">
        <w:t>analytical</w:t>
      </w:r>
      <w:r w:rsidR="00275375">
        <w:t xml:space="preserve"> </w:t>
      </w:r>
      <w:r w:rsidR="00F33121">
        <w:t>information</w:t>
      </w:r>
      <w:r>
        <w:t>.</w:t>
      </w:r>
      <w:r w:rsidR="00DD0E0A">
        <w:t xml:space="preserve">  Business sponsors often expect consistency in reporting that would be impossible without corresponding prior operations enablement.</w:t>
      </w:r>
    </w:p>
    <w:p w:rsidR="002C74C0" w:rsidRDefault="00E37F1A" w:rsidP="00D9778F">
      <w:r>
        <w:t>The following illustration depicts this correspondence.  You may recognize that the shape of the curve between the axis is exponential and not directly proportional.  This shape works in our favor per the following observations.</w:t>
      </w:r>
    </w:p>
    <w:p w:rsidR="00E37F1A" w:rsidRDefault="00E37F1A" w:rsidP="00E37F1A">
      <w:pPr>
        <w:pStyle w:val="ListParagraph"/>
        <w:numPr>
          <w:ilvl w:val="0"/>
          <w:numId w:val="16"/>
        </w:numPr>
      </w:pPr>
      <w:r>
        <w:t xml:space="preserve">A slight increase in </w:t>
      </w:r>
      <w:r w:rsidR="008820A7" w:rsidRPr="008820A7">
        <w:rPr>
          <w:i/>
        </w:rPr>
        <w:t>O</w:t>
      </w:r>
      <w:r w:rsidRPr="008820A7">
        <w:rPr>
          <w:i/>
        </w:rPr>
        <w:t xml:space="preserve">perational </w:t>
      </w:r>
      <w:r w:rsidR="008820A7" w:rsidRPr="008820A7">
        <w:rPr>
          <w:i/>
        </w:rPr>
        <w:t>C</w:t>
      </w:r>
      <w:r w:rsidRPr="008820A7">
        <w:rPr>
          <w:i/>
        </w:rPr>
        <w:t>onsistency</w:t>
      </w:r>
      <w:r>
        <w:t xml:space="preserve"> (i.e. a movement to the right along the horizontal axis) results in a dramatic increase in </w:t>
      </w:r>
      <w:r w:rsidR="008820A7" w:rsidRPr="008820A7">
        <w:rPr>
          <w:i/>
        </w:rPr>
        <w:t>D</w:t>
      </w:r>
      <w:r w:rsidRPr="008820A7">
        <w:rPr>
          <w:i/>
        </w:rPr>
        <w:t>ata</w:t>
      </w:r>
      <w:r w:rsidR="008820A7" w:rsidRPr="008820A7">
        <w:rPr>
          <w:i/>
        </w:rPr>
        <w:t xml:space="preserve"> C</w:t>
      </w:r>
      <w:r w:rsidRPr="008820A7">
        <w:rPr>
          <w:i/>
        </w:rPr>
        <w:t>onsistency</w:t>
      </w:r>
      <w:r>
        <w:t xml:space="preserve"> (i.e. </w:t>
      </w:r>
      <w:r w:rsidR="00DD0E0A">
        <w:t>upward movement along the vertical axis)</w:t>
      </w:r>
      <w:r w:rsidR="001A5F22">
        <w:t xml:space="preserve">.  In other words, a small operational improvement </w:t>
      </w:r>
      <w:r w:rsidR="00DD0E0A">
        <w:t>can go a long way.</w:t>
      </w:r>
    </w:p>
    <w:p w:rsidR="00DD0E0A" w:rsidRDefault="00DD0E0A" w:rsidP="00E37F1A">
      <w:pPr>
        <w:pStyle w:val="ListParagraph"/>
        <w:numPr>
          <w:ilvl w:val="0"/>
          <w:numId w:val="16"/>
        </w:numPr>
      </w:pPr>
      <w:r>
        <w:t xml:space="preserve">How can we know our consistency position on this curve?   That’s a function of metrics.  </w:t>
      </w:r>
      <w:r w:rsidRPr="008820A7">
        <w:rPr>
          <w:i/>
        </w:rPr>
        <w:t>Operational Consistency</w:t>
      </w:r>
      <w:r>
        <w:t xml:space="preserve"> measurements provide insights into where we are at any point in time.</w:t>
      </w:r>
    </w:p>
    <w:p w:rsidR="00476160" w:rsidRDefault="008820A7" w:rsidP="00D9778F">
      <w:pPr>
        <w:pStyle w:val="ListParagraph"/>
        <w:numPr>
          <w:ilvl w:val="0"/>
          <w:numId w:val="16"/>
        </w:numPr>
      </w:pPr>
      <w:r>
        <w:t xml:space="preserve">How can we improve our consistency position?  That’s the art and science of </w:t>
      </w:r>
      <w:r w:rsidR="00F33121" w:rsidRPr="00F33121">
        <w:rPr>
          <w:i/>
        </w:rPr>
        <w:t>Operations Management</w:t>
      </w:r>
      <w:r w:rsidR="00F33121">
        <w:t xml:space="preserve"> involving </w:t>
      </w:r>
      <w:r w:rsidR="00F33121" w:rsidRPr="00F33121">
        <w:rPr>
          <w:i/>
        </w:rPr>
        <w:t>People, Processes, and Technologies</w:t>
      </w:r>
      <w:r w:rsidR="00F33121">
        <w:t xml:space="preserve">.  Or, more specifically, the organizational application of </w:t>
      </w:r>
      <w:r w:rsidR="00F33121" w:rsidRPr="00F33121">
        <w:rPr>
          <w:i/>
        </w:rPr>
        <w:t>Roles, Workflow, and Automation</w:t>
      </w:r>
      <w:r w:rsidR="00F33121">
        <w:t xml:space="preserve"> to business processes.  </w:t>
      </w:r>
    </w:p>
    <w:p w:rsidR="00F65F32" w:rsidRDefault="00CB2872">
      <w:r>
        <w:rPr>
          <w:noProof/>
        </w:rPr>
        <w:drawing>
          <wp:inline distT="0" distB="0" distL="0" distR="0">
            <wp:extent cx="5486400" cy="3075940"/>
            <wp:effectExtent l="38100" t="38100" r="95250" b="863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rationalConsistency.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75940"/>
                    </a:xfrm>
                    <a:prstGeom prst="rect">
                      <a:avLst/>
                    </a:prstGeom>
                    <a:effectLst>
                      <a:outerShdw blurRad="50800" dist="38100" dir="2700000" algn="tl" rotWithShape="0">
                        <a:prstClr val="black">
                          <a:alpha val="40000"/>
                        </a:prstClr>
                      </a:outerShdw>
                    </a:effectLst>
                  </pic:spPr>
                </pic:pic>
              </a:graphicData>
            </a:graphic>
          </wp:inline>
        </w:drawing>
      </w:r>
    </w:p>
    <w:p w:rsidR="00D9778F" w:rsidRDefault="00701766" w:rsidP="00D9778F">
      <w:pPr>
        <w:pStyle w:val="Heading2"/>
      </w:pPr>
      <w:r>
        <w:lastRenderedPageBreak/>
        <w:t>PROJECT PRIOrities</w:t>
      </w:r>
    </w:p>
    <w:p w:rsidR="00914313" w:rsidRDefault="00914313" w:rsidP="00F65F32">
      <w:pPr>
        <w:rPr>
          <w:rFonts w:cs="Arial"/>
        </w:rPr>
      </w:pPr>
      <w:r>
        <w:rPr>
          <w:rFonts w:cs="Arial"/>
        </w:rPr>
        <w:t>Note the following key prerequisites for a successful DCIM project…</w:t>
      </w:r>
    </w:p>
    <w:p w:rsidR="00914313" w:rsidRDefault="00914313" w:rsidP="00914313">
      <w:pPr>
        <w:pStyle w:val="ListParagraph"/>
        <w:numPr>
          <w:ilvl w:val="0"/>
          <w:numId w:val="17"/>
        </w:numPr>
        <w:rPr>
          <w:rFonts w:cs="Arial"/>
        </w:rPr>
      </w:pPr>
      <w:r>
        <w:rPr>
          <w:rFonts w:cs="Arial"/>
        </w:rPr>
        <w:t>Sponsorship</w:t>
      </w:r>
    </w:p>
    <w:p w:rsidR="00914313" w:rsidRDefault="00914313" w:rsidP="00914313">
      <w:pPr>
        <w:pStyle w:val="ListParagraph"/>
        <w:numPr>
          <w:ilvl w:val="0"/>
          <w:numId w:val="17"/>
        </w:numPr>
        <w:rPr>
          <w:rFonts w:cs="Arial"/>
        </w:rPr>
      </w:pPr>
      <w:r>
        <w:rPr>
          <w:rFonts w:cs="Arial"/>
        </w:rPr>
        <w:t>Adoption Roadmap</w:t>
      </w:r>
    </w:p>
    <w:p w:rsidR="00914313" w:rsidRDefault="00914313" w:rsidP="00914313">
      <w:pPr>
        <w:pStyle w:val="ListParagraph"/>
        <w:numPr>
          <w:ilvl w:val="0"/>
          <w:numId w:val="17"/>
        </w:numPr>
        <w:rPr>
          <w:rFonts w:cs="Arial"/>
        </w:rPr>
      </w:pPr>
      <w:r>
        <w:rPr>
          <w:rFonts w:cs="Arial"/>
        </w:rPr>
        <w:t>Onboarding Plan</w:t>
      </w:r>
    </w:p>
    <w:p w:rsidR="00A30F3B" w:rsidRDefault="00A30F3B" w:rsidP="00A30F3B">
      <w:pPr>
        <w:pStyle w:val="ListParagraph"/>
        <w:rPr>
          <w:rFonts w:cs="Arial"/>
        </w:rPr>
      </w:pPr>
    </w:p>
    <w:p w:rsidR="00FD6961" w:rsidRDefault="00FD6961" w:rsidP="00FD6961">
      <w:pPr>
        <w:pStyle w:val="Heading3"/>
      </w:pPr>
      <w:r>
        <w:t>Sponsorship</w:t>
      </w:r>
    </w:p>
    <w:p w:rsidR="00FD6961" w:rsidRDefault="00FD6961" w:rsidP="00FD6961">
      <w:r>
        <w:t xml:space="preserve">Most projects require the following three </w:t>
      </w:r>
      <w:r w:rsidRPr="00435A6B">
        <w:rPr>
          <w:i/>
        </w:rPr>
        <w:t>levels</w:t>
      </w:r>
      <w:r>
        <w:t xml:space="preserve"> of engaged</w:t>
      </w:r>
      <w:r w:rsidR="007C30EE">
        <w:t xml:space="preserve"> and continuous </w:t>
      </w:r>
      <w:r>
        <w:t xml:space="preserve">sponsorship.   Without these, the risks of failure multiply.  </w:t>
      </w:r>
      <w:r w:rsidR="00E25D58">
        <w:t>Unfortunately, many enterprises trend toward an outsourcing dependency that fails to recognize the intrinsic organizational culture changes brought about by DCIM.  Recommendations are to outsource very selectively and then only within the context of specific deliverables.  First and foremost</w:t>
      </w:r>
      <w:bookmarkStart w:id="5" w:name="_GoBack"/>
      <w:bookmarkEnd w:id="5"/>
      <w:r w:rsidR="00E25D58">
        <w:t xml:space="preserve"> ensure that your sponsors and stakeholders are actively engaged and driving DCIM adoption. </w:t>
      </w:r>
    </w:p>
    <w:tbl>
      <w:tblPr>
        <w:tblStyle w:val="GridTable1Light"/>
        <w:tblW w:w="9003" w:type="dxa"/>
        <w:tblLook w:val="04A0" w:firstRow="1" w:lastRow="0" w:firstColumn="1" w:lastColumn="0" w:noHBand="0" w:noVBand="1"/>
      </w:tblPr>
      <w:tblGrid>
        <w:gridCol w:w="2065"/>
        <w:gridCol w:w="2520"/>
        <w:gridCol w:w="4418"/>
      </w:tblGrid>
      <w:tr w:rsidR="00FD6961" w:rsidTr="007C30E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065" w:type="dxa"/>
          </w:tcPr>
          <w:p w:rsidR="00FD6961" w:rsidRDefault="00FD6961" w:rsidP="00FD6961">
            <w:r>
              <w:t>Sponsorship Level</w:t>
            </w:r>
          </w:p>
        </w:tc>
        <w:tc>
          <w:tcPr>
            <w:tcW w:w="2520" w:type="dxa"/>
          </w:tcPr>
          <w:p w:rsidR="00FD6961" w:rsidRDefault="00FD6961" w:rsidP="00FD6961">
            <w:pPr>
              <w:cnfStyle w:val="100000000000" w:firstRow="1" w:lastRow="0" w:firstColumn="0" w:lastColumn="0" w:oddVBand="0" w:evenVBand="0" w:oddHBand="0" w:evenHBand="0" w:firstRowFirstColumn="0" w:firstRowLastColumn="0" w:lastRowFirstColumn="0" w:lastRowLastColumn="0"/>
            </w:pPr>
            <w:r>
              <w:t>Enterprise Role</w:t>
            </w:r>
            <w:r w:rsidR="00BE6E9F">
              <w:t>s</w:t>
            </w:r>
          </w:p>
        </w:tc>
        <w:tc>
          <w:tcPr>
            <w:tcW w:w="4418" w:type="dxa"/>
          </w:tcPr>
          <w:p w:rsidR="00FD6961" w:rsidRDefault="00FD6961" w:rsidP="00FD6961">
            <w:pPr>
              <w:cnfStyle w:val="100000000000" w:firstRow="1" w:lastRow="0" w:firstColumn="0" w:lastColumn="0" w:oddVBand="0" w:evenVBand="0" w:oddHBand="0" w:evenHBand="0" w:firstRowFirstColumn="0" w:firstRowLastColumn="0" w:lastRowFirstColumn="0" w:lastRowLastColumn="0"/>
            </w:pPr>
            <w:r>
              <w:t>Accountability</w:t>
            </w:r>
          </w:p>
        </w:tc>
      </w:tr>
      <w:tr w:rsidR="00FD6961" w:rsidTr="007C30EE">
        <w:trPr>
          <w:trHeight w:val="680"/>
        </w:trPr>
        <w:tc>
          <w:tcPr>
            <w:cnfStyle w:val="001000000000" w:firstRow="0" w:lastRow="0" w:firstColumn="1" w:lastColumn="0" w:oddVBand="0" w:evenVBand="0" w:oddHBand="0" w:evenHBand="0" w:firstRowFirstColumn="0" w:firstRowLastColumn="0" w:lastRowFirstColumn="0" w:lastRowLastColumn="0"/>
            <w:tcW w:w="2065" w:type="dxa"/>
          </w:tcPr>
          <w:p w:rsidR="00FD6961" w:rsidRPr="00435A6B" w:rsidRDefault="00FD6961" w:rsidP="00FD6961">
            <w:pPr>
              <w:rPr>
                <w:i/>
              </w:rPr>
            </w:pPr>
            <w:r w:rsidRPr="00435A6B">
              <w:rPr>
                <w:i/>
              </w:rPr>
              <w:t>Executive</w:t>
            </w:r>
          </w:p>
        </w:tc>
        <w:tc>
          <w:tcPr>
            <w:tcW w:w="2520" w:type="dxa"/>
          </w:tcPr>
          <w:p w:rsidR="00FD6961" w:rsidRDefault="00FD6961" w:rsidP="00FD6961">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Vice-President</w:t>
            </w:r>
          </w:p>
          <w:p w:rsidR="007C30EE" w:rsidRDefault="00FD6961" w:rsidP="007C30EE">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proofErr w:type="spellStart"/>
            <w:r>
              <w:t>CxO</w:t>
            </w:r>
            <w:proofErr w:type="spellEnd"/>
          </w:p>
        </w:tc>
        <w:tc>
          <w:tcPr>
            <w:tcW w:w="4418" w:type="dxa"/>
          </w:tcPr>
          <w:p w:rsidR="00FD6961" w:rsidRDefault="007C30EE" w:rsidP="007C30EE">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Signature sponsor</w:t>
            </w:r>
            <w:r w:rsidR="008746D3">
              <w:t>s</w:t>
            </w:r>
            <w:r>
              <w:t xml:space="preserve"> of the corporate “DCIM Initiative”.</w:t>
            </w:r>
          </w:p>
          <w:p w:rsidR="007C30EE" w:rsidRDefault="007C30EE" w:rsidP="007C30EE">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Evange</w:t>
            </w:r>
            <w:r w:rsidR="008746D3">
              <w:t>lize</w:t>
            </w:r>
            <w:r w:rsidR="00045A7C">
              <w:t>s</w:t>
            </w:r>
            <w:r w:rsidR="008746D3">
              <w:t xml:space="preserve"> corporate initiatives.</w:t>
            </w:r>
          </w:p>
          <w:p w:rsidR="00BE6E9F" w:rsidRDefault="00045A7C" w:rsidP="007C30EE">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Chair of </w:t>
            </w:r>
            <w:r w:rsidR="00BE6E9F">
              <w:t>major milestone project reviews.</w:t>
            </w:r>
          </w:p>
        </w:tc>
      </w:tr>
      <w:tr w:rsidR="00FD6961" w:rsidTr="007C30EE">
        <w:trPr>
          <w:trHeight w:val="968"/>
        </w:trPr>
        <w:tc>
          <w:tcPr>
            <w:cnfStyle w:val="001000000000" w:firstRow="0" w:lastRow="0" w:firstColumn="1" w:lastColumn="0" w:oddVBand="0" w:evenVBand="0" w:oddHBand="0" w:evenHBand="0" w:firstRowFirstColumn="0" w:firstRowLastColumn="0" w:lastRowFirstColumn="0" w:lastRowLastColumn="0"/>
            <w:tcW w:w="2065" w:type="dxa"/>
          </w:tcPr>
          <w:p w:rsidR="00FD6961" w:rsidRPr="00435A6B" w:rsidRDefault="00FD6961" w:rsidP="00FD6961">
            <w:pPr>
              <w:rPr>
                <w:i/>
              </w:rPr>
            </w:pPr>
            <w:r w:rsidRPr="00435A6B">
              <w:rPr>
                <w:i/>
              </w:rPr>
              <w:t>Business</w:t>
            </w:r>
          </w:p>
        </w:tc>
        <w:tc>
          <w:tcPr>
            <w:tcW w:w="2520" w:type="dxa"/>
          </w:tcPr>
          <w:p w:rsidR="00FD6961" w:rsidRDefault="007C30EE" w:rsidP="00FD6961">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Sr. </w:t>
            </w:r>
            <w:r w:rsidR="00FD6961">
              <w:t>Director</w:t>
            </w:r>
            <w:r>
              <w:t>s</w:t>
            </w:r>
          </w:p>
          <w:p w:rsidR="007C30EE" w:rsidRDefault="007C30EE" w:rsidP="00FD6961">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General Managers</w:t>
            </w:r>
          </w:p>
          <w:p w:rsidR="007C30EE" w:rsidRDefault="007C30EE" w:rsidP="00FD6961">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Regional Directors</w:t>
            </w:r>
          </w:p>
        </w:tc>
        <w:tc>
          <w:tcPr>
            <w:tcW w:w="4418" w:type="dxa"/>
          </w:tcPr>
          <w:p w:rsidR="00FD6961" w:rsidRDefault="007C30EE" w:rsidP="007C30E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Business stakeholder</w:t>
            </w:r>
            <w:r w:rsidR="00045A7C">
              <w:t>s</w:t>
            </w:r>
            <w:r>
              <w:t>.</w:t>
            </w:r>
          </w:p>
          <w:p w:rsidR="007C30EE" w:rsidRDefault="007C30EE" w:rsidP="007C30E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Enables cross-team collaboration.</w:t>
            </w:r>
          </w:p>
          <w:p w:rsidR="007C30EE" w:rsidRDefault="008746D3" w:rsidP="007C30E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Approve project objectives, plans, and milestone deliverables.</w:t>
            </w:r>
          </w:p>
          <w:p w:rsidR="00BE6E9F" w:rsidRDefault="00BE6E9F" w:rsidP="007C30E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Identify new business </w:t>
            </w:r>
            <w:r w:rsidR="00A30F3B">
              <w:t xml:space="preserve">capabilities and </w:t>
            </w:r>
            <w:r>
              <w:t>opportunities.</w:t>
            </w:r>
          </w:p>
          <w:p w:rsidR="008746D3" w:rsidRDefault="00A30F3B" w:rsidP="007C30E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Assign and e</w:t>
            </w:r>
            <w:r w:rsidR="008746D3">
              <w:t xml:space="preserve">nable </w:t>
            </w:r>
            <w:r w:rsidR="00BE6E9F">
              <w:t xml:space="preserve">technical </w:t>
            </w:r>
            <w:r w:rsidR="008746D3">
              <w:t>resources.</w:t>
            </w:r>
          </w:p>
        </w:tc>
      </w:tr>
      <w:tr w:rsidR="00FD6961" w:rsidTr="007C30EE">
        <w:trPr>
          <w:trHeight w:val="1497"/>
        </w:trPr>
        <w:tc>
          <w:tcPr>
            <w:cnfStyle w:val="001000000000" w:firstRow="0" w:lastRow="0" w:firstColumn="1" w:lastColumn="0" w:oddVBand="0" w:evenVBand="0" w:oddHBand="0" w:evenHBand="0" w:firstRowFirstColumn="0" w:firstRowLastColumn="0" w:lastRowFirstColumn="0" w:lastRowLastColumn="0"/>
            <w:tcW w:w="2065" w:type="dxa"/>
          </w:tcPr>
          <w:p w:rsidR="00FD6961" w:rsidRPr="00435A6B" w:rsidRDefault="00FD6961" w:rsidP="00FD6961">
            <w:pPr>
              <w:rPr>
                <w:i/>
              </w:rPr>
            </w:pPr>
            <w:r w:rsidRPr="00435A6B">
              <w:rPr>
                <w:i/>
              </w:rPr>
              <w:t>Technical</w:t>
            </w:r>
          </w:p>
        </w:tc>
        <w:tc>
          <w:tcPr>
            <w:tcW w:w="2520" w:type="dxa"/>
          </w:tcPr>
          <w:p w:rsidR="00FD6961" w:rsidRDefault="007C30EE" w:rsidP="007C30E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Operations Manager</w:t>
            </w:r>
            <w:r w:rsidR="00BE6E9F">
              <w:t>s</w:t>
            </w:r>
          </w:p>
          <w:p w:rsidR="007C30EE" w:rsidRDefault="007C30EE" w:rsidP="007C30E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DCIM Solutions Consultant</w:t>
            </w:r>
            <w:r w:rsidR="00BE6E9F">
              <w:t>s</w:t>
            </w:r>
          </w:p>
          <w:p w:rsidR="007C30EE" w:rsidRDefault="007C30EE" w:rsidP="007C30E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Technical IT Operations Staff</w:t>
            </w:r>
            <w:r w:rsidR="00BE6E9F">
              <w:t xml:space="preserve"> Members</w:t>
            </w:r>
          </w:p>
        </w:tc>
        <w:tc>
          <w:tcPr>
            <w:tcW w:w="4418" w:type="dxa"/>
          </w:tcPr>
          <w:p w:rsidR="00FD6961" w:rsidRDefault="007C30EE" w:rsidP="007C30E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Execute the DCIM Onboarding Plan.</w:t>
            </w:r>
          </w:p>
          <w:p w:rsidR="007C30EE" w:rsidRDefault="007C30EE" w:rsidP="007C30E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Establish Operations Team roles.</w:t>
            </w:r>
          </w:p>
          <w:p w:rsidR="007C30EE" w:rsidRDefault="007C30EE" w:rsidP="007C30E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Establish Operations Workflows.</w:t>
            </w:r>
          </w:p>
          <w:p w:rsidR="007C30EE" w:rsidRDefault="007C30EE" w:rsidP="007C30E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Implement technical solutions.</w:t>
            </w:r>
          </w:p>
          <w:p w:rsidR="007C30EE" w:rsidRDefault="007C30EE" w:rsidP="007C30E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Achieve project milestone deliverables.</w:t>
            </w:r>
          </w:p>
          <w:p w:rsidR="008746D3" w:rsidRDefault="008746D3" w:rsidP="007C30E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Scale-out via staff technical training and role enablement.</w:t>
            </w:r>
          </w:p>
          <w:p w:rsidR="007C30EE" w:rsidRDefault="007C30EE" w:rsidP="007C30EE">
            <w:pPr>
              <w:pStyle w:val="ListParagraph"/>
              <w:ind w:left="360"/>
              <w:cnfStyle w:val="000000000000" w:firstRow="0" w:lastRow="0" w:firstColumn="0" w:lastColumn="0" w:oddVBand="0" w:evenVBand="0" w:oddHBand="0" w:evenHBand="0" w:firstRowFirstColumn="0" w:firstRowLastColumn="0" w:lastRowFirstColumn="0" w:lastRowLastColumn="0"/>
            </w:pPr>
          </w:p>
        </w:tc>
      </w:tr>
    </w:tbl>
    <w:p w:rsidR="00435A6B" w:rsidRDefault="00435A6B" w:rsidP="00FD6961">
      <w:r>
        <w:t xml:space="preserve"> </w:t>
      </w:r>
    </w:p>
    <w:p w:rsidR="00FD6961" w:rsidRPr="00FD6961" w:rsidRDefault="00FD6961" w:rsidP="00FD6961">
      <w:pPr>
        <w:pStyle w:val="Heading3"/>
      </w:pPr>
      <w:r>
        <w:t>Adoption Roadmap</w:t>
      </w:r>
    </w:p>
    <w:p w:rsidR="00DA6D1B" w:rsidRDefault="00F65F32" w:rsidP="00F65F32">
      <w:pPr>
        <w:rPr>
          <w:rFonts w:cs="Arial"/>
        </w:rPr>
      </w:pPr>
      <w:r>
        <w:rPr>
          <w:rFonts w:cs="Arial"/>
        </w:rPr>
        <w:t xml:space="preserve">The following illustration provides a </w:t>
      </w:r>
      <w:r w:rsidR="00F33121">
        <w:rPr>
          <w:rFonts w:cs="Arial"/>
        </w:rPr>
        <w:t>high-level</w:t>
      </w:r>
      <w:r>
        <w:rPr>
          <w:rFonts w:cs="Arial"/>
        </w:rPr>
        <w:t xml:space="preserve"> roadmap for DCIM technology adoption</w:t>
      </w:r>
      <w:r w:rsidR="004013E2">
        <w:rPr>
          <w:rFonts w:cs="Arial"/>
        </w:rPr>
        <w:t xml:space="preserve"> based </w:t>
      </w:r>
      <w:r w:rsidR="00F33121">
        <w:rPr>
          <w:rFonts w:cs="Arial"/>
        </w:rPr>
        <w:t>upon functional-area priority</w:t>
      </w:r>
      <w:r>
        <w:rPr>
          <w:rFonts w:cs="Arial"/>
        </w:rPr>
        <w:t xml:space="preserve">.  </w:t>
      </w:r>
    </w:p>
    <w:p w:rsidR="004013E2" w:rsidRDefault="00DA6D1B" w:rsidP="00F65F32">
      <w:pPr>
        <w:rPr>
          <w:rFonts w:cs="Arial"/>
        </w:rPr>
      </w:pPr>
      <w:r>
        <w:rPr>
          <w:noProof/>
        </w:rPr>
        <w:lastRenderedPageBreak/>
        <w:drawing>
          <wp:inline distT="0" distB="0" distL="0" distR="0" wp14:anchorId="37CEDECF" wp14:editId="16466B45">
            <wp:extent cx="5486400" cy="4084320"/>
            <wp:effectExtent l="95250" t="57150" r="19050" b="495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84320"/>
                    </a:xfrm>
                    <a:prstGeom prst="rect">
                      <a:avLst/>
                    </a:prstGeom>
                    <a:effectLst>
                      <a:outerShdw blurRad="50800" dist="38100" dir="10800000" algn="r" rotWithShape="0">
                        <a:prstClr val="black">
                          <a:alpha val="40000"/>
                        </a:prstClr>
                      </a:outerShdw>
                    </a:effectLst>
                  </pic:spPr>
                </pic:pic>
              </a:graphicData>
            </a:graphic>
          </wp:inline>
        </w:drawing>
      </w:r>
    </w:p>
    <w:p w:rsidR="00A30F3B" w:rsidRDefault="00630392" w:rsidP="00F65F32">
      <w:pPr>
        <w:rPr>
          <w:rFonts w:cs="Arial"/>
        </w:rPr>
      </w:pPr>
      <w:r>
        <w:rPr>
          <w:rFonts w:cs="Arial"/>
        </w:rPr>
        <w:t xml:space="preserve">Recommendations are to first accomplish </w:t>
      </w:r>
      <w:r w:rsidRPr="00630392">
        <w:rPr>
          <w:rFonts w:cs="Arial"/>
          <w:i/>
        </w:rPr>
        <w:t>Asset Management</w:t>
      </w:r>
      <w:r>
        <w:rPr>
          <w:rFonts w:cs="Arial"/>
        </w:rPr>
        <w:t xml:space="preserve"> </w:t>
      </w:r>
      <w:r w:rsidR="00A30F3B">
        <w:rPr>
          <w:rFonts w:cs="Arial"/>
        </w:rPr>
        <w:t>inventory and data-migration</w:t>
      </w:r>
      <w:r w:rsidR="008654FA">
        <w:rPr>
          <w:rFonts w:cs="Arial"/>
        </w:rPr>
        <w:t xml:space="preserve"> followed-</w:t>
      </w:r>
      <w:r w:rsidR="00681EE7">
        <w:rPr>
          <w:rFonts w:cs="Arial"/>
        </w:rPr>
        <w:t>by</w:t>
      </w:r>
      <w:r w:rsidR="00A30F3B">
        <w:rPr>
          <w:rFonts w:cs="Arial"/>
        </w:rPr>
        <w:t xml:space="preserve"> or concurrently with operations</w:t>
      </w:r>
      <w:r w:rsidR="00681EE7">
        <w:rPr>
          <w:rFonts w:cs="Arial"/>
        </w:rPr>
        <w:t xml:space="preserve"> </w:t>
      </w:r>
      <w:r w:rsidR="00681EE7" w:rsidRPr="00681EE7">
        <w:rPr>
          <w:rFonts w:cs="Arial"/>
          <w:i/>
        </w:rPr>
        <w:t>Change Control</w:t>
      </w:r>
      <w:r w:rsidR="00681EE7">
        <w:rPr>
          <w:rFonts w:cs="Arial"/>
        </w:rPr>
        <w:t>.  These two feature/functional areas underpin all other areas.</w:t>
      </w:r>
      <w:r w:rsidR="00BA4527">
        <w:rPr>
          <w:rFonts w:cs="Arial"/>
        </w:rPr>
        <w:t xml:space="preserve">  Subsequent feature/functional area adoption is largely business objectives dependent.</w:t>
      </w:r>
    </w:p>
    <w:p w:rsidR="006B2A6F" w:rsidRDefault="006B2A6F" w:rsidP="00F65F32">
      <w:pPr>
        <w:rPr>
          <w:rFonts w:cs="Arial"/>
        </w:rPr>
      </w:pPr>
      <w:r>
        <w:rPr>
          <w:rFonts w:cs="Arial"/>
        </w:rPr>
        <w:t xml:space="preserve">If possible, conduct your </w:t>
      </w:r>
      <w:r w:rsidRPr="00275375">
        <w:rPr>
          <w:rFonts w:cs="Arial"/>
          <w:i/>
        </w:rPr>
        <w:t>Asset Inventory</w:t>
      </w:r>
      <w:r>
        <w:rPr>
          <w:rFonts w:cs="Arial"/>
        </w:rPr>
        <w:t xml:space="preserve"> data-migration on a cabinet-by-cabinet basis.  A practical goal is to achieve a concurrent cabinet-by-cabinet validation audit.  Most often, it is a mistake to accomplish inventory data-migration on a room or site level even if your source data-set includes all records for these.   The reason is that you will learn from data-mapping exceptions, learn how to correct these exceptions, and gain subsequent data-migration benefits.   </w:t>
      </w:r>
    </w:p>
    <w:p w:rsidR="006B2A6F" w:rsidRDefault="006B2A6F" w:rsidP="00F65F32">
      <w:pPr>
        <w:rPr>
          <w:rFonts w:cs="Arial"/>
        </w:rPr>
      </w:pPr>
      <w:r>
        <w:rPr>
          <w:rFonts w:cs="Arial"/>
        </w:rPr>
        <w:t xml:space="preserve">This project phase should be quickly followed by enablement of simple </w:t>
      </w:r>
      <w:r w:rsidRPr="00D9778F">
        <w:rPr>
          <w:rFonts w:cs="Arial"/>
          <w:i/>
        </w:rPr>
        <w:t>Operations Change Control</w:t>
      </w:r>
      <w:r>
        <w:rPr>
          <w:rFonts w:cs="Arial"/>
        </w:rPr>
        <w:t xml:space="preserve"> workflows.  The primary objective of Change Control is to accurately and consistently execute Operational use-case scenarios.  Any operation that results in a change to the asset inventory should be documented with at least an interim checklist.  Example </w:t>
      </w:r>
      <w:r w:rsidR="0026760A">
        <w:rPr>
          <w:rFonts w:cs="Arial"/>
        </w:rPr>
        <w:t>operations</w:t>
      </w:r>
      <w:r>
        <w:rPr>
          <w:rFonts w:cs="Arial"/>
        </w:rPr>
        <w:t xml:space="preserve"> include asset deployments, moves, returns, and decommissions.  Of course, the longer-term goal is to formally define, automate, and refine all operations workflows using the </w:t>
      </w:r>
      <w:r w:rsidRPr="00870928">
        <w:rPr>
          <w:rFonts w:cs="Arial"/>
          <w:i/>
        </w:rPr>
        <w:t>Workflow Management</w:t>
      </w:r>
      <w:r>
        <w:rPr>
          <w:rFonts w:cs="Arial"/>
        </w:rPr>
        <w:t xml:space="preserve"> functionality within DCIM tools. </w:t>
      </w:r>
    </w:p>
    <w:p w:rsidR="007D00F6" w:rsidRDefault="00A45D87" w:rsidP="00F65F32">
      <w:pPr>
        <w:rPr>
          <w:rFonts w:cs="Arial"/>
        </w:rPr>
      </w:pPr>
      <w:r>
        <w:rPr>
          <w:rFonts w:cs="Arial"/>
        </w:rPr>
        <w:lastRenderedPageBreak/>
        <w:t>Initially</w:t>
      </w:r>
      <w:r w:rsidR="0026760A">
        <w:rPr>
          <w:rFonts w:cs="Arial"/>
        </w:rPr>
        <w:t>, however</w:t>
      </w:r>
      <w:r>
        <w:rPr>
          <w:rFonts w:cs="Arial"/>
        </w:rPr>
        <w:t xml:space="preserve">, </w:t>
      </w:r>
      <w:r w:rsidR="007D00F6">
        <w:rPr>
          <w:rFonts w:cs="Arial"/>
        </w:rPr>
        <w:t xml:space="preserve">Change Control may not necessarily entail completion of sophisticated Workflows or integration with external ticketing systems.  In many cases, it is more expedient early-on to simply define and document basic Operations scenarios.  Then, spend time training Operations staff to execute </w:t>
      </w:r>
      <w:r w:rsidR="00475AEF">
        <w:rPr>
          <w:rFonts w:cs="Arial"/>
        </w:rPr>
        <w:t xml:space="preserve">their roles </w:t>
      </w:r>
      <w:r w:rsidR="007D00F6">
        <w:rPr>
          <w:rFonts w:cs="Arial"/>
        </w:rPr>
        <w:t>per the defined standards (allowing for minor variations)</w:t>
      </w:r>
      <w:r w:rsidR="004D6BA0">
        <w:rPr>
          <w:rFonts w:cs="Arial"/>
        </w:rPr>
        <w:t xml:space="preserve"> and to gain familiarity with DCIM tools</w:t>
      </w:r>
      <w:r w:rsidR="007D00F6">
        <w:rPr>
          <w:rFonts w:cs="Arial"/>
        </w:rPr>
        <w:t xml:space="preserve">.  </w:t>
      </w:r>
    </w:p>
    <w:p w:rsidR="007D00F6" w:rsidRDefault="00475AEF" w:rsidP="00F65F32">
      <w:pPr>
        <w:rPr>
          <w:rFonts w:cs="Arial"/>
        </w:rPr>
      </w:pPr>
      <w:r>
        <w:rPr>
          <w:rFonts w:cs="Arial"/>
        </w:rPr>
        <w:t>Thereafter, as time and capability permit, integrate with Change Control systems and ideally use Workflow to incrementally increase asset lifecycle automation and thus overall operations consistency.</w:t>
      </w:r>
    </w:p>
    <w:p w:rsidR="0026760A" w:rsidRDefault="0026760A" w:rsidP="0026760A">
      <w:pPr>
        <w:rPr>
          <w:rFonts w:cs="Arial"/>
        </w:rPr>
      </w:pPr>
      <w:r>
        <w:rPr>
          <w:rFonts w:cs="Arial"/>
        </w:rPr>
        <w:t xml:space="preserve">Reports and consistency metrics will subsequently serve to enable </w:t>
      </w:r>
      <w:r w:rsidRPr="00D9778F">
        <w:rPr>
          <w:rFonts w:cs="Arial"/>
          <w:i/>
        </w:rPr>
        <w:t>Continuous Improvement</w:t>
      </w:r>
      <w:r>
        <w:rPr>
          <w:rFonts w:cs="Arial"/>
        </w:rPr>
        <w:t xml:space="preserve"> initiatives.  Finally, </w:t>
      </w:r>
      <w:r w:rsidRPr="00D9778F">
        <w:rPr>
          <w:rFonts w:cs="Arial"/>
          <w:i/>
        </w:rPr>
        <w:t>Power Management</w:t>
      </w:r>
      <w:r>
        <w:rPr>
          <w:rFonts w:cs="Arial"/>
        </w:rPr>
        <w:t xml:space="preserve"> capability forms the basis for future </w:t>
      </w:r>
      <w:r w:rsidRPr="00D9778F">
        <w:rPr>
          <w:rFonts w:cs="Arial"/>
          <w:i/>
        </w:rPr>
        <w:t>Capacity Management</w:t>
      </w:r>
      <w:r>
        <w:rPr>
          <w:rFonts w:cs="Arial"/>
        </w:rPr>
        <w:t xml:space="preserve"> and </w:t>
      </w:r>
      <w:r w:rsidRPr="00D9778F">
        <w:rPr>
          <w:rFonts w:cs="Arial"/>
          <w:i/>
        </w:rPr>
        <w:t>Environmental Monitoring</w:t>
      </w:r>
      <w:r>
        <w:rPr>
          <w:rFonts w:cs="Arial"/>
        </w:rPr>
        <w:t xml:space="preserve"> objectives.</w:t>
      </w:r>
    </w:p>
    <w:p w:rsidR="00A30F3B" w:rsidRDefault="00A30F3B" w:rsidP="00F65F32">
      <w:pPr>
        <w:rPr>
          <w:rFonts w:cs="Arial"/>
        </w:rPr>
      </w:pPr>
    </w:p>
    <w:p w:rsidR="00A30F3B" w:rsidRDefault="00A30F3B" w:rsidP="008654FA">
      <w:pPr>
        <w:pStyle w:val="Heading3"/>
      </w:pPr>
      <w:r>
        <w:t>Onboarding Plan</w:t>
      </w:r>
    </w:p>
    <w:p w:rsidR="0089175F" w:rsidRDefault="00A00909" w:rsidP="00A00909">
      <w:r>
        <w:t xml:space="preserve">The following illustration </w:t>
      </w:r>
      <w:r w:rsidR="00404C00">
        <w:t xml:space="preserve">leverages the feature/functional areas of DCIM to list corresponding high-level project </w:t>
      </w:r>
      <w:r w:rsidR="00420EF4">
        <w:t xml:space="preserve">planning </w:t>
      </w:r>
      <w:r w:rsidR="00404C00">
        <w:t xml:space="preserve">activity-areas for rolling-out DCIM solutions.  </w:t>
      </w:r>
    </w:p>
    <w:p w:rsidR="00F65F32" w:rsidRPr="00CD2C39" w:rsidRDefault="00CD2C39" w:rsidP="00F65F32">
      <w:r>
        <w:rPr>
          <w:noProof/>
        </w:rPr>
        <w:drawing>
          <wp:inline distT="0" distB="0" distL="0" distR="0" wp14:anchorId="70B661F2" wp14:editId="5CA2839B">
            <wp:extent cx="6010951" cy="3390900"/>
            <wp:effectExtent l="38100" t="38100" r="104140"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6048" cy="3393775"/>
                    </a:xfrm>
                    <a:prstGeom prst="rect">
                      <a:avLst/>
                    </a:prstGeom>
                    <a:effectLst>
                      <a:outerShdw blurRad="50800" dist="38100" dir="2700000" algn="tl" rotWithShape="0">
                        <a:prstClr val="black">
                          <a:alpha val="40000"/>
                        </a:prstClr>
                      </a:outerShdw>
                    </a:effectLst>
                  </pic:spPr>
                </pic:pic>
              </a:graphicData>
            </a:graphic>
          </wp:inline>
        </w:drawing>
      </w:r>
    </w:p>
    <w:p w:rsidR="00404C00" w:rsidRDefault="00404C00" w:rsidP="00F65F32">
      <w:pPr>
        <w:rPr>
          <w:rFonts w:cs="Arial"/>
        </w:rPr>
      </w:pPr>
      <w:r>
        <w:rPr>
          <w:rFonts w:cs="Arial"/>
        </w:rPr>
        <w:t>Within the functional area of Asset Management, for example, subproject activities include Scoping, Tools Training, Floor Plan imports, Data Migrations, and continuous Operations.</w:t>
      </w:r>
      <w:r w:rsidR="008E2833">
        <w:rPr>
          <w:rFonts w:cs="Arial"/>
        </w:rPr>
        <w:t xml:space="preserve">  This perspective enables a somewhat traditional project management </w:t>
      </w:r>
      <w:r w:rsidR="008E2833">
        <w:rPr>
          <w:rFonts w:cs="Arial"/>
        </w:rPr>
        <w:lastRenderedPageBreak/>
        <w:t>approach for DCIM technology adoption with step-wise resourcing of work-items within each phase of each functional area.</w:t>
      </w:r>
    </w:p>
    <w:p w:rsidR="00404C00" w:rsidRDefault="00404C00" w:rsidP="00F65F32">
      <w:pPr>
        <w:rPr>
          <w:rFonts w:cs="Arial"/>
        </w:rPr>
      </w:pPr>
      <w:r>
        <w:rPr>
          <w:rFonts w:cs="Arial"/>
        </w:rPr>
        <w:t xml:space="preserve">Herein, we will explore each of these DCIM functional areas in more detail.  However, this approach, by itself, is missing another key perspective.  </w:t>
      </w:r>
      <w:r w:rsidR="00420EF4">
        <w:rPr>
          <w:rFonts w:cs="Arial"/>
        </w:rPr>
        <w:t>That perspective is illustrated below.</w:t>
      </w:r>
    </w:p>
    <w:p w:rsidR="00404C00" w:rsidRDefault="00CD2C39" w:rsidP="00F65F32">
      <w:pPr>
        <w:rPr>
          <w:rFonts w:cs="Arial"/>
        </w:rPr>
      </w:pPr>
      <w:r>
        <w:rPr>
          <w:noProof/>
        </w:rPr>
        <w:drawing>
          <wp:inline distT="0" distB="0" distL="0" distR="0" wp14:anchorId="2186ED80" wp14:editId="05B15970">
            <wp:extent cx="6131128" cy="3448050"/>
            <wp:effectExtent l="38100" t="38100" r="98425"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3695" cy="3455118"/>
                    </a:xfrm>
                    <a:prstGeom prst="rect">
                      <a:avLst/>
                    </a:prstGeom>
                    <a:effectLst>
                      <a:outerShdw blurRad="50800" dist="38100" dir="2700000" algn="tl" rotWithShape="0">
                        <a:prstClr val="black">
                          <a:alpha val="40000"/>
                        </a:prstClr>
                      </a:outerShdw>
                    </a:effectLst>
                  </pic:spPr>
                </pic:pic>
              </a:graphicData>
            </a:graphic>
          </wp:inline>
        </w:drawing>
      </w:r>
    </w:p>
    <w:p w:rsidR="00404C00" w:rsidRDefault="00566D62" w:rsidP="00F65F32">
      <w:pPr>
        <w:rPr>
          <w:rFonts w:cs="Arial"/>
        </w:rPr>
      </w:pPr>
      <w:r>
        <w:rPr>
          <w:rFonts w:cs="Arial"/>
        </w:rPr>
        <w:t xml:space="preserve">IT services fulfillment is known to be a People + Process + Tools equation.  DCIM solutions present the opportunity to map this equation onto a corresponding Roles + Workflow + Automation solution domain.  Hence, a key endeavor is to identify Operations Roles that participate in </w:t>
      </w:r>
      <w:r w:rsidR="008E2833">
        <w:rPr>
          <w:rFonts w:cs="Arial"/>
        </w:rPr>
        <w:t xml:space="preserve">each DCIM functional area.  </w:t>
      </w:r>
    </w:p>
    <w:p w:rsidR="008E2833" w:rsidRDefault="008E2833" w:rsidP="00F65F32">
      <w:pPr>
        <w:rPr>
          <w:rFonts w:cs="Arial"/>
        </w:rPr>
      </w:pPr>
      <w:r>
        <w:rPr>
          <w:rFonts w:cs="Arial"/>
        </w:rPr>
        <w:t>For example, within Asset Management, participating Operations Roles include Tenant Manager, Reservations Manager, Catalog Manager, Operations Manager, and QA Manager.</w:t>
      </w:r>
    </w:p>
    <w:p w:rsidR="008E2833" w:rsidRDefault="008E2833" w:rsidP="00F65F32">
      <w:pPr>
        <w:rPr>
          <w:rFonts w:cs="Arial"/>
        </w:rPr>
      </w:pPr>
      <w:r>
        <w:rPr>
          <w:rFonts w:cs="Arial"/>
        </w:rPr>
        <w:t xml:space="preserve">Once Roles are defined, then the Operations Usage Scenarios </w:t>
      </w:r>
      <w:r w:rsidR="009A3A74">
        <w:rPr>
          <w:rFonts w:cs="Arial"/>
        </w:rPr>
        <w:t>for each R</w:t>
      </w:r>
      <w:r>
        <w:rPr>
          <w:rFonts w:cs="Arial"/>
        </w:rPr>
        <w:t>ole become more obvious as illustrated below.</w:t>
      </w:r>
    </w:p>
    <w:p w:rsidR="008E2833" w:rsidRDefault="008E2833" w:rsidP="00F65F32">
      <w:pPr>
        <w:rPr>
          <w:rFonts w:cs="Arial"/>
        </w:rPr>
      </w:pPr>
      <w:r>
        <w:rPr>
          <w:noProof/>
        </w:rPr>
        <w:lastRenderedPageBreak/>
        <w:drawing>
          <wp:inline distT="0" distB="0" distL="0" distR="0" wp14:anchorId="6E09D404" wp14:editId="743A1A67">
            <wp:extent cx="6048375" cy="3412711"/>
            <wp:effectExtent l="38100" t="38100" r="85725" b="927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6300" cy="3428467"/>
                    </a:xfrm>
                    <a:prstGeom prst="rect">
                      <a:avLst/>
                    </a:prstGeom>
                    <a:effectLst>
                      <a:outerShdw blurRad="50800" dist="38100" dir="2700000" algn="tl" rotWithShape="0">
                        <a:prstClr val="black">
                          <a:alpha val="40000"/>
                        </a:prstClr>
                      </a:outerShdw>
                    </a:effectLst>
                  </pic:spPr>
                </pic:pic>
              </a:graphicData>
            </a:graphic>
          </wp:inline>
        </w:drawing>
      </w:r>
    </w:p>
    <w:p w:rsidR="009A3A74" w:rsidRDefault="009A3A74" w:rsidP="00F65F32">
      <w:pPr>
        <w:rPr>
          <w:rFonts w:cs="Arial"/>
        </w:rPr>
      </w:pPr>
      <w:r>
        <w:rPr>
          <w:rFonts w:cs="Arial"/>
        </w:rPr>
        <w:t xml:space="preserve">The Reservations Manager role, for example, utilizes DCIM Tools to accomplish specific usage scenarios.  These include management of cabinet-level space and power utilization.  The Reservations Manager is an initial approver of change requests and correspondingly creates, updates, and deletes cabinet rack-unit reservations per change request.  </w:t>
      </w:r>
    </w:p>
    <w:p w:rsidR="009A3A74" w:rsidRDefault="009A3A74" w:rsidP="00F65F32">
      <w:pPr>
        <w:rPr>
          <w:rFonts w:cs="Arial"/>
        </w:rPr>
      </w:pPr>
      <w:r>
        <w:rPr>
          <w:rFonts w:cs="Arial"/>
        </w:rPr>
        <w:t>The Operations Manager role utilizes DCIM Tools to receive assets, deploy those assets to production, audit assets, and accomplish asset lifecycle tasks including moves and decommissions.</w:t>
      </w:r>
    </w:p>
    <w:p w:rsidR="00404C00" w:rsidRDefault="00CD2C39" w:rsidP="00F65F32">
      <w:pPr>
        <w:rPr>
          <w:rFonts w:cs="Arial"/>
        </w:rPr>
      </w:pPr>
      <w:r>
        <w:rPr>
          <w:rFonts w:cs="Arial"/>
        </w:rPr>
        <w:t>Thus, a</w:t>
      </w:r>
      <w:r w:rsidR="006A0DB9">
        <w:rPr>
          <w:rFonts w:cs="Arial"/>
        </w:rPr>
        <w:t xml:space="preserve"> DCIM Onboarding Plan should account for both </w:t>
      </w:r>
      <w:r w:rsidR="003711CF">
        <w:rPr>
          <w:rFonts w:cs="Arial"/>
        </w:rPr>
        <w:t>DCIM feature/functional technology adoption and logical use-case per user-role definition.</w:t>
      </w:r>
    </w:p>
    <w:p w:rsidR="00CD2C39" w:rsidRDefault="00CD2C39" w:rsidP="00CD2C39">
      <w:pPr>
        <w:rPr>
          <w:rFonts w:cs="Arial"/>
        </w:rPr>
      </w:pPr>
      <w:r>
        <w:rPr>
          <w:rFonts w:cs="Arial"/>
        </w:rPr>
        <w:t xml:space="preserve">The following illustration suggests a timeline for the activities associated with the People, Process, and Tools based IT Operations project.  A detailed project plan is dependent upon availability of cross-team resources and corresponding collaboration schedules.   </w:t>
      </w:r>
    </w:p>
    <w:p w:rsidR="003711CF" w:rsidRDefault="00DC2516" w:rsidP="00F65F32">
      <w:pPr>
        <w:rPr>
          <w:rFonts w:cs="Arial"/>
        </w:rPr>
      </w:pPr>
      <w:r>
        <w:rPr>
          <w:noProof/>
        </w:rPr>
        <w:lastRenderedPageBreak/>
        <w:drawing>
          <wp:inline distT="0" distB="0" distL="0" distR="0" wp14:anchorId="5A8C26B1" wp14:editId="4DB5412C">
            <wp:extent cx="5486400" cy="4117145"/>
            <wp:effectExtent l="38100" t="38100" r="95250" b="933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17145"/>
                    </a:xfrm>
                    <a:prstGeom prst="rect">
                      <a:avLst/>
                    </a:prstGeom>
                    <a:effectLst>
                      <a:outerShdw blurRad="50800" dist="38100" dir="2700000" algn="tl" rotWithShape="0">
                        <a:prstClr val="black">
                          <a:alpha val="40000"/>
                        </a:prstClr>
                      </a:outerShdw>
                    </a:effectLst>
                  </pic:spPr>
                </pic:pic>
              </a:graphicData>
            </a:graphic>
          </wp:inline>
        </w:drawing>
      </w:r>
    </w:p>
    <w:p w:rsidR="00DC2516" w:rsidRDefault="00DC2516" w:rsidP="00F65F32">
      <w:pPr>
        <w:rPr>
          <w:rFonts w:cs="Arial"/>
        </w:rPr>
      </w:pPr>
    </w:p>
    <w:p w:rsidR="00476160" w:rsidRDefault="00DC2516" w:rsidP="00476160">
      <w:pPr>
        <w:pStyle w:val="Heading2"/>
      </w:pPr>
      <w:r>
        <w:t>Functional Area Technology Adoption</w:t>
      </w:r>
    </w:p>
    <w:p w:rsidR="002640E4" w:rsidRPr="002640E4" w:rsidRDefault="002640E4" w:rsidP="002640E4"/>
    <w:p w:rsidR="002640E4" w:rsidRDefault="002640E4" w:rsidP="002640E4">
      <w:pPr>
        <w:pStyle w:val="Heading3"/>
      </w:pPr>
      <w:r>
        <w:t>Asset Management</w:t>
      </w:r>
    </w:p>
    <w:p w:rsidR="002640E4" w:rsidRPr="002640E4" w:rsidRDefault="002640E4" w:rsidP="002640E4"/>
    <w:p w:rsidR="002640E4" w:rsidRDefault="002640E4" w:rsidP="002640E4">
      <w:pPr>
        <w:pStyle w:val="Heading3"/>
      </w:pPr>
      <w:r>
        <w:t>Change Management</w:t>
      </w:r>
    </w:p>
    <w:p w:rsidR="002640E4" w:rsidRPr="002640E4" w:rsidRDefault="002640E4" w:rsidP="002640E4"/>
    <w:p w:rsidR="002640E4" w:rsidRDefault="002640E4" w:rsidP="002640E4">
      <w:pPr>
        <w:pStyle w:val="Heading3"/>
      </w:pPr>
      <w:r>
        <w:t>Power Management</w:t>
      </w:r>
    </w:p>
    <w:p w:rsidR="002640E4" w:rsidRPr="002640E4" w:rsidRDefault="002640E4" w:rsidP="002640E4"/>
    <w:p w:rsidR="002640E4" w:rsidRDefault="002640E4" w:rsidP="002640E4">
      <w:pPr>
        <w:pStyle w:val="Heading3"/>
      </w:pPr>
      <w:r>
        <w:t>Capacity Management</w:t>
      </w:r>
    </w:p>
    <w:p w:rsidR="002640E4" w:rsidRPr="002640E4" w:rsidRDefault="002640E4" w:rsidP="002640E4"/>
    <w:p w:rsidR="002640E4" w:rsidRDefault="002640E4" w:rsidP="002640E4">
      <w:pPr>
        <w:pStyle w:val="Heading3"/>
      </w:pPr>
      <w:r>
        <w:lastRenderedPageBreak/>
        <w:t>Cable Management</w:t>
      </w:r>
    </w:p>
    <w:p w:rsidR="002640E4" w:rsidRPr="002640E4" w:rsidRDefault="002640E4" w:rsidP="002640E4"/>
    <w:p w:rsidR="002640E4" w:rsidRDefault="002640E4" w:rsidP="002640E4">
      <w:pPr>
        <w:pStyle w:val="Heading3"/>
      </w:pPr>
      <w:r>
        <w:t>Environmental Management</w:t>
      </w:r>
    </w:p>
    <w:p w:rsidR="00F65F32" w:rsidRDefault="00F65F32" w:rsidP="00F65F32">
      <w:pPr>
        <w:rPr>
          <w:rFonts w:cs="Arial"/>
        </w:rPr>
      </w:pPr>
    </w:p>
    <w:p w:rsidR="00F65F32" w:rsidRDefault="00F65F32" w:rsidP="00F65F32">
      <w:pPr>
        <w:rPr>
          <w:rFonts w:cs="Arial"/>
        </w:rPr>
      </w:pPr>
    </w:p>
    <w:p w:rsidR="002640E4" w:rsidRDefault="002640E4" w:rsidP="002640E4">
      <w:pPr>
        <w:pStyle w:val="Heading2"/>
      </w:pPr>
      <w:r>
        <w:t>Logical use-case Technology Adoption</w:t>
      </w:r>
    </w:p>
    <w:p w:rsidR="002640E4" w:rsidRPr="002640E4" w:rsidRDefault="002640E4" w:rsidP="002640E4"/>
    <w:p w:rsidR="002640E4" w:rsidRDefault="002640E4" w:rsidP="002640E4">
      <w:pPr>
        <w:pStyle w:val="Heading3"/>
      </w:pPr>
      <w:r>
        <w:t>Establishing User Roles</w:t>
      </w:r>
    </w:p>
    <w:p w:rsidR="002640E4" w:rsidRPr="002640E4" w:rsidRDefault="002640E4" w:rsidP="002640E4"/>
    <w:p w:rsidR="002640E4" w:rsidRDefault="002640E4" w:rsidP="002640E4">
      <w:pPr>
        <w:pStyle w:val="Heading3"/>
      </w:pPr>
      <w:r>
        <w:t>Example – Reservations Manager – Reserve RU</w:t>
      </w:r>
    </w:p>
    <w:p w:rsidR="002640E4" w:rsidRPr="002640E4" w:rsidRDefault="002640E4" w:rsidP="002640E4"/>
    <w:p w:rsidR="00951779" w:rsidRPr="00951779" w:rsidRDefault="002640E4" w:rsidP="00951779">
      <w:pPr>
        <w:pStyle w:val="Heading3"/>
      </w:pPr>
      <w:r>
        <w:t xml:space="preserve">Example </w:t>
      </w:r>
      <w:r w:rsidR="00951779">
        <w:t>–</w:t>
      </w:r>
      <w:r>
        <w:t xml:space="preserve"> </w:t>
      </w:r>
      <w:r w:rsidR="00951779">
        <w:t>Operations Manager – Receive Assets</w:t>
      </w:r>
    </w:p>
    <w:p w:rsidR="002640E4" w:rsidRPr="002640E4" w:rsidRDefault="002640E4" w:rsidP="002640E4"/>
    <w:p w:rsidR="002640E4" w:rsidRDefault="002640E4" w:rsidP="00951779">
      <w:pPr>
        <w:pStyle w:val="Heading3"/>
      </w:pPr>
      <w:r>
        <w:t>Example –</w:t>
      </w:r>
      <w:r w:rsidR="00951779">
        <w:t xml:space="preserve"> Operations Manager – Deploy Assets</w:t>
      </w:r>
    </w:p>
    <w:p w:rsidR="002640E4" w:rsidRDefault="002640E4" w:rsidP="002640E4"/>
    <w:p w:rsidR="00951779" w:rsidRPr="002640E4" w:rsidRDefault="00951779" w:rsidP="00951779">
      <w:pPr>
        <w:pStyle w:val="Heading3"/>
      </w:pPr>
      <w:r>
        <w:t>Example – Power Manager – Constrain Cabinets</w:t>
      </w:r>
    </w:p>
    <w:p w:rsidR="00F65F32" w:rsidRDefault="00F65F32" w:rsidP="00F65F32">
      <w:pPr>
        <w:rPr>
          <w:rFonts w:cs="Arial"/>
        </w:rPr>
      </w:pPr>
    </w:p>
    <w:p w:rsidR="00022E42" w:rsidRDefault="00022E42" w:rsidP="00F65F32">
      <w:pPr>
        <w:rPr>
          <w:rFonts w:cs="Arial"/>
        </w:rPr>
      </w:pPr>
    </w:p>
    <w:p w:rsidR="00022E42" w:rsidRPr="00CF5F5D" w:rsidRDefault="00022E42" w:rsidP="00022E42">
      <w:pPr>
        <w:pStyle w:val="Heading2"/>
      </w:pPr>
      <w:r>
        <w:t>Technology Roadmap</w:t>
      </w:r>
    </w:p>
    <w:p w:rsidR="00022E42" w:rsidRDefault="00022E42" w:rsidP="00022E42">
      <w:pPr>
        <w:rPr>
          <w:rFonts w:cs="Arial"/>
          <w:szCs w:val="20"/>
        </w:rPr>
      </w:pPr>
      <w:r>
        <w:rPr>
          <w:rFonts w:cs="Arial"/>
          <w:szCs w:val="20"/>
        </w:rPr>
        <w:t xml:space="preserve">Your primary DCIM vendor, such as NLyte Software, licenses products and components supporting DCIM Operations.   For planning purposes, identify vendor-provided </w:t>
      </w:r>
      <w:r w:rsidR="001A2184">
        <w:rPr>
          <w:rFonts w:cs="Arial"/>
          <w:szCs w:val="20"/>
        </w:rPr>
        <w:t>functional</w:t>
      </w:r>
      <w:r>
        <w:rPr>
          <w:rFonts w:cs="Arial"/>
          <w:szCs w:val="20"/>
        </w:rPr>
        <w:t xml:space="preserve"> components that are required or recommended.  For example, components of the NLyte Core Engine (illustrated in red) would be provided by default.  Additional optional components (illustrated in green) are purchase</w:t>
      </w:r>
      <w:r w:rsidR="001A2184">
        <w:rPr>
          <w:rFonts w:cs="Arial"/>
          <w:szCs w:val="20"/>
        </w:rPr>
        <w:t>d</w:t>
      </w:r>
      <w:r>
        <w:rPr>
          <w:rFonts w:cs="Arial"/>
          <w:szCs w:val="20"/>
        </w:rPr>
        <w:t xml:space="preserve"> separately.   Actual costs and package options are typically negotiated with the vendor directly</w:t>
      </w:r>
      <w:r w:rsidR="001A2184">
        <w:rPr>
          <w:rFonts w:cs="Arial"/>
          <w:szCs w:val="20"/>
        </w:rPr>
        <w:t xml:space="preserve"> and perhaps</w:t>
      </w:r>
      <w:r>
        <w:rPr>
          <w:rFonts w:cs="Arial"/>
          <w:szCs w:val="20"/>
        </w:rPr>
        <w:t xml:space="preserve"> within the context of a single comprehensive license.  Facilities and </w:t>
      </w:r>
      <w:r w:rsidRPr="00022E42">
        <w:rPr>
          <w:rFonts w:cs="Arial"/>
          <w:i/>
          <w:szCs w:val="20"/>
        </w:rPr>
        <w:t>Environmental Monitoring</w:t>
      </w:r>
      <w:r>
        <w:rPr>
          <w:rFonts w:cs="Arial"/>
          <w:szCs w:val="20"/>
        </w:rPr>
        <w:t xml:space="preserve"> integration is not addressed herein but would deserve consideration for longer-term DCIM </w:t>
      </w:r>
      <w:r w:rsidR="001A2184">
        <w:rPr>
          <w:rFonts w:cs="Arial"/>
          <w:szCs w:val="20"/>
        </w:rPr>
        <w:t xml:space="preserve">technology adoption </w:t>
      </w:r>
      <w:r>
        <w:rPr>
          <w:rFonts w:cs="Arial"/>
          <w:szCs w:val="20"/>
        </w:rPr>
        <w:t>plans or if enterprise licensing advantages were available.</w:t>
      </w:r>
    </w:p>
    <w:p w:rsidR="00022E42" w:rsidRDefault="00022E42" w:rsidP="00022E42">
      <w:pPr>
        <w:rPr>
          <w:rFonts w:cs="Arial"/>
          <w:szCs w:val="20"/>
        </w:rPr>
      </w:pPr>
      <w:r>
        <w:rPr>
          <w:noProof/>
        </w:rPr>
        <w:lastRenderedPageBreak/>
        <w:drawing>
          <wp:inline distT="0" distB="0" distL="0" distR="0" wp14:anchorId="70C1082A" wp14:editId="3863369C">
            <wp:extent cx="6422315"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5742" cy="3792973"/>
                    </a:xfrm>
                    <a:prstGeom prst="rect">
                      <a:avLst/>
                    </a:prstGeom>
                  </pic:spPr>
                </pic:pic>
              </a:graphicData>
            </a:graphic>
          </wp:inline>
        </w:drawing>
      </w:r>
    </w:p>
    <w:p w:rsidR="00022E42" w:rsidRPr="00CF5F5D" w:rsidRDefault="00022E42" w:rsidP="00022E42">
      <w:pPr>
        <w:rPr>
          <w:rFonts w:cs="Arial"/>
          <w:szCs w:val="20"/>
        </w:rPr>
      </w:pPr>
    </w:p>
    <w:tbl>
      <w:tblPr>
        <w:tblW w:w="9327" w:type="dxa"/>
        <w:tblInd w:w="108" w:type="dxa"/>
        <w:tblLayout w:type="fixed"/>
        <w:tblCellMar>
          <w:left w:w="115" w:type="dxa"/>
          <w:right w:w="115" w:type="dxa"/>
        </w:tblCellMar>
        <w:tblLook w:val="0000" w:firstRow="0" w:lastRow="0" w:firstColumn="0" w:lastColumn="0" w:noHBand="0" w:noVBand="0"/>
      </w:tblPr>
      <w:tblGrid>
        <w:gridCol w:w="6"/>
        <w:gridCol w:w="2481"/>
        <w:gridCol w:w="5130"/>
        <w:gridCol w:w="1710"/>
      </w:tblGrid>
      <w:tr w:rsidR="00022E42" w:rsidRPr="00CF5F5D" w:rsidTr="00B1064F">
        <w:trPr>
          <w:tblHeader/>
        </w:trPr>
        <w:tc>
          <w:tcPr>
            <w:tcW w:w="2487" w:type="dxa"/>
            <w:gridSpan w:val="2"/>
            <w:tcBorders>
              <w:top w:val="single" w:sz="12" w:space="0" w:color="auto"/>
              <w:left w:val="single" w:sz="12" w:space="0" w:color="auto"/>
              <w:bottom w:val="single" w:sz="12" w:space="0" w:color="auto"/>
              <w:right w:val="single" w:sz="12" w:space="0" w:color="auto"/>
            </w:tcBorders>
            <w:shd w:val="clear" w:color="auto" w:fill="BFBFBF"/>
          </w:tcPr>
          <w:p w:rsidR="00022E42" w:rsidRPr="00CF5F5D" w:rsidRDefault="00022E42" w:rsidP="00B1064F">
            <w:pPr>
              <w:pStyle w:val="TableHeader"/>
              <w:rPr>
                <w:color w:val="auto"/>
              </w:rPr>
            </w:pPr>
            <w:r>
              <w:rPr>
                <w:color w:val="auto"/>
              </w:rPr>
              <w:t>Typical Recommended Add-On Components</w:t>
            </w:r>
          </w:p>
        </w:tc>
        <w:tc>
          <w:tcPr>
            <w:tcW w:w="5130" w:type="dxa"/>
            <w:tcBorders>
              <w:top w:val="single" w:sz="12" w:space="0" w:color="auto"/>
              <w:left w:val="single" w:sz="12" w:space="0" w:color="auto"/>
              <w:bottom w:val="single" w:sz="12" w:space="0" w:color="auto"/>
              <w:right w:val="single" w:sz="12" w:space="0" w:color="auto"/>
            </w:tcBorders>
            <w:shd w:val="clear" w:color="auto" w:fill="BFBFBF"/>
          </w:tcPr>
          <w:p w:rsidR="00022E42" w:rsidRPr="00CF5F5D" w:rsidRDefault="00022E42" w:rsidP="00B1064F">
            <w:pPr>
              <w:pStyle w:val="TableHeader"/>
              <w:rPr>
                <w:color w:val="auto"/>
              </w:rPr>
            </w:pPr>
            <w:r>
              <w:rPr>
                <w:color w:val="auto"/>
              </w:rPr>
              <w:t>Purpose</w:t>
            </w:r>
          </w:p>
        </w:tc>
        <w:tc>
          <w:tcPr>
            <w:tcW w:w="1710" w:type="dxa"/>
            <w:tcBorders>
              <w:top w:val="single" w:sz="12" w:space="0" w:color="auto"/>
              <w:left w:val="single" w:sz="12" w:space="0" w:color="auto"/>
              <w:bottom w:val="single" w:sz="12" w:space="0" w:color="auto"/>
              <w:right w:val="single" w:sz="12" w:space="0" w:color="auto"/>
            </w:tcBorders>
            <w:shd w:val="clear" w:color="auto" w:fill="BFBFBF"/>
          </w:tcPr>
          <w:p w:rsidR="00022E42" w:rsidRPr="00CF5F5D" w:rsidRDefault="00022E42" w:rsidP="00B1064F">
            <w:pPr>
              <w:pStyle w:val="TableHeader"/>
              <w:jc w:val="center"/>
              <w:rPr>
                <w:color w:val="auto"/>
              </w:rPr>
            </w:pPr>
            <w:r>
              <w:rPr>
                <w:color w:val="auto"/>
              </w:rPr>
              <w:t>Notes</w:t>
            </w:r>
          </w:p>
        </w:tc>
      </w:tr>
      <w:tr w:rsidR="00022E42" w:rsidRPr="00CF5F5D" w:rsidTr="00B1064F">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022E42" w:rsidRPr="00CF5F5D" w:rsidRDefault="00022E42" w:rsidP="00B1064F">
            <w:pPr>
              <w:pStyle w:val="TableText"/>
              <w:rPr>
                <w:rFonts w:cs="Arial"/>
              </w:rPr>
            </w:pPr>
            <w:r>
              <w:rPr>
                <w:rFonts w:cs="Arial"/>
              </w:rPr>
              <w:t>Mobile Audit</w:t>
            </w:r>
          </w:p>
        </w:tc>
        <w:tc>
          <w:tcPr>
            <w:tcW w:w="5130" w:type="dxa"/>
            <w:tcBorders>
              <w:top w:val="single" w:sz="12" w:space="0" w:color="auto"/>
              <w:left w:val="single" w:sz="12" w:space="0" w:color="auto"/>
              <w:bottom w:val="single" w:sz="12" w:space="0" w:color="auto"/>
              <w:right w:val="single" w:sz="12" w:space="0" w:color="auto"/>
            </w:tcBorders>
          </w:tcPr>
          <w:p w:rsidR="00022E42" w:rsidRPr="00CF5F5D" w:rsidRDefault="00022E42" w:rsidP="00B1064F">
            <w:pPr>
              <w:pStyle w:val="TableText"/>
              <w:rPr>
                <w:rFonts w:cs="Arial"/>
              </w:rPr>
            </w:pPr>
            <w:r>
              <w:rPr>
                <w:rFonts w:cs="Arial"/>
              </w:rPr>
              <w:t xml:space="preserve">A </w:t>
            </w:r>
            <w:proofErr w:type="spellStart"/>
            <w:r>
              <w:rPr>
                <w:rFonts w:cs="Arial"/>
              </w:rPr>
              <w:t>tablet+scanner</w:t>
            </w:r>
            <w:proofErr w:type="spellEnd"/>
            <w:r>
              <w:rPr>
                <w:rFonts w:cs="Arial"/>
              </w:rPr>
              <w:t xml:space="preserve"> Operations Center application for auditing and recording asset changes.</w:t>
            </w:r>
          </w:p>
        </w:tc>
        <w:tc>
          <w:tcPr>
            <w:tcW w:w="1710" w:type="dxa"/>
            <w:tcBorders>
              <w:top w:val="single" w:sz="12" w:space="0" w:color="auto"/>
              <w:left w:val="single" w:sz="12" w:space="0" w:color="auto"/>
              <w:bottom w:val="single" w:sz="12" w:space="0" w:color="auto"/>
              <w:right w:val="single" w:sz="12" w:space="0" w:color="auto"/>
            </w:tcBorders>
          </w:tcPr>
          <w:p w:rsidR="00022E42" w:rsidRDefault="00022E42" w:rsidP="00B1064F">
            <w:pPr>
              <w:pStyle w:val="TableText"/>
              <w:rPr>
                <w:rFonts w:cs="Arial"/>
              </w:rPr>
            </w:pPr>
            <w:r>
              <w:rPr>
                <w:rFonts w:cs="Arial"/>
              </w:rPr>
              <w:t>Recommended for Audit efficiencies.</w:t>
            </w:r>
          </w:p>
        </w:tc>
      </w:tr>
      <w:tr w:rsidR="00022E42" w:rsidRPr="00CF5F5D" w:rsidTr="00B1064F">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022E42" w:rsidRPr="00CF5F5D" w:rsidRDefault="00022E42" w:rsidP="00B1064F">
            <w:pPr>
              <w:pStyle w:val="TableText"/>
              <w:rPr>
                <w:rFonts w:cs="Arial"/>
              </w:rPr>
            </w:pPr>
            <w:r>
              <w:rPr>
                <w:rFonts w:cs="Arial"/>
              </w:rPr>
              <w:t>Goods Receiving</w:t>
            </w:r>
          </w:p>
        </w:tc>
        <w:tc>
          <w:tcPr>
            <w:tcW w:w="5130" w:type="dxa"/>
            <w:tcBorders>
              <w:top w:val="single" w:sz="12" w:space="0" w:color="auto"/>
              <w:left w:val="single" w:sz="12" w:space="0" w:color="auto"/>
              <w:bottom w:val="single" w:sz="12" w:space="0" w:color="auto"/>
              <w:right w:val="single" w:sz="12" w:space="0" w:color="auto"/>
            </w:tcBorders>
          </w:tcPr>
          <w:p w:rsidR="00022E42" w:rsidRPr="00CF5F5D" w:rsidRDefault="00022E42" w:rsidP="00B1064F">
            <w:pPr>
              <w:pStyle w:val="TableText"/>
              <w:rPr>
                <w:rFonts w:cs="Arial"/>
              </w:rPr>
            </w:pPr>
            <w:r>
              <w:rPr>
                <w:rFonts w:cs="Arial"/>
              </w:rPr>
              <w:t xml:space="preserve">A </w:t>
            </w:r>
            <w:proofErr w:type="spellStart"/>
            <w:r>
              <w:rPr>
                <w:rFonts w:cs="Arial"/>
              </w:rPr>
              <w:t>tablet+scanner</w:t>
            </w:r>
            <w:proofErr w:type="spellEnd"/>
            <w:r>
              <w:rPr>
                <w:rFonts w:cs="Arial"/>
              </w:rPr>
              <w:t xml:space="preserve"> Receiving Center application optimized for bulk-asset receiving.</w:t>
            </w:r>
          </w:p>
        </w:tc>
        <w:tc>
          <w:tcPr>
            <w:tcW w:w="1710" w:type="dxa"/>
            <w:tcBorders>
              <w:top w:val="single" w:sz="12" w:space="0" w:color="auto"/>
              <w:left w:val="single" w:sz="12" w:space="0" w:color="auto"/>
              <w:bottom w:val="single" w:sz="12" w:space="0" w:color="auto"/>
              <w:right w:val="single" w:sz="12" w:space="0" w:color="auto"/>
            </w:tcBorders>
          </w:tcPr>
          <w:p w:rsidR="00022E42" w:rsidRDefault="00022E42" w:rsidP="00B1064F">
            <w:pPr>
              <w:pStyle w:val="TableText"/>
              <w:rPr>
                <w:rFonts w:cs="Arial"/>
              </w:rPr>
            </w:pPr>
            <w:r>
              <w:rPr>
                <w:rFonts w:cs="Arial"/>
              </w:rPr>
              <w:t>Recommended for Receiving efficiencies.</w:t>
            </w:r>
          </w:p>
        </w:tc>
      </w:tr>
      <w:tr w:rsidR="00022E42" w:rsidRPr="00CF5F5D" w:rsidTr="00B1064F">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022E42" w:rsidRPr="00CF5F5D" w:rsidRDefault="00022E42" w:rsidP="00B1064F">
            <w:pPr>
              <w:pStyle w:val="TableText"/>
              <w:rPr>
                <w:rFonts w:cs="Arial"/>
              </w:rPr>
            </w:pPr>
            <w:proofErr w:type="spellStart"/>
            <w:r>
              <w:rPr>
                <w:rFonts w:cs="Arial"/>
              </w:rPr>
              <w:t>ServiceNow</w:t>
            </w:r>
            <w:proofErr w:type="spellEnd"/>
            <w:r>
              <w:rPr>
                <w:rFonts w:cs="Arial"/>
              </w:rPr>
              <w:t xml:space="preserve"> CMDB</w:t>
            </w:r>
          </w:p>
        </w:tc>
        <w:tc>
          <w:tcPr>
            <w:tcW w:w="5130" w:type="dxa"/>
            <w:tcBorders>
              <w:top w:val="single" w:sz="12" w:space="0" w:color="auto"/>
              <w:left w:val="single" w:sz="12" w:space="0" w:color="auto"/>
              <w:bottom w:val="single" w:sz="12" w:space="0" w:color="auto"/>
              <w:right w:val="single" w:sz="12" w:space="0" w:color="auto"/>
            </w:tcBorders>
          </w:tcPr>
          <w:p w:rsidR="00022E42" w:rsidRPr="00CF5F5D" w:rsidRDefault="00022E42" w:rsidP="00B1064F">
            <w:pPr>
              <w:pStyle w:val="TableText"/>
              <w:rPr>
                <w:rFonts w:cs="Arial"/>
              </w:rPr>
            </w:pPr>
            <w:r>
              <w:rPr>
                <w:rFonts w:cs="Arial"/>
              </w:rPr>
              <w:t xml:space="preserve">Integration component providing asset record synchronization with the </w:t>
            </w:r>
            <w:proofErr w:type="spellStart"/>
            <w:r>
              <w:rPr>
                <w:rFonts w:cs="Arial"/>
              </w:rPr>
              <w:t>ServiceNow</w:t>
            </w:r>
            <w:proofErr w:type="spellEnd"/>
            <w:r>
              <w:rPr>
                <w:rFonts w:cs="Arial"/>
              </w:rPr>
              <w:t xml:space="preserve"> Con</w:t>
            </w:r>
            <w:r w:rsidR="001A2184">
              <w:rPr>
                <w:rFonts w:cs="Arial"/>
              </w:rPr>
              <w:t>figuration Management Data Base.</w:t>
            </w:r>
          </w:p>
        </w:tc>
        <w:tc>
          <w:tcPr>
            <w:tcW w:w="1710" w:type="dxa"/>
            <w:tcBorders>
              <w:top w:val="single" w:sz="12" w:space="0" w:color="auto"/>
              <w:left w:val="single" w:sz="12" w:space="0" w:color="auto"/>
              <w:bottom w:val="single" w:sz="12" w:space="0" w:color="auto"/>
              <w:right w:val="single" w:sz="12" w:space="0" w:color="auto"/>
            </w:tcBorders>
          </w:tcPr>
          <w:p w:rsidR="00022E42" w:rsidRDefault="00022E42" w:rsidP="00B1064F">
            <w:pPr>
              <w:pStyle w:val="TableText"/>
              <w:rPr>
                <w:rFonts w:cs="Arial"/>
              </w:rPr>
            </w:pPr>
            <w:r>
              <w:rPr>
                <w:rFonts w:cs="Arial"/>
              </w:rPr>
              <w:t>Essential for Asset Management</w:t>
            </w:r>
          </w:p>
        </w:tc>
      </w:tr>
      <w:tr w:rsidR="00022E42" w:rsidRPr="00CF5F5D" w:rsidTr="00B1064F">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022E42" w:rsidRPr="00CF5F5D" w:rsidRDefault="00022E42" w:rsidP="00B1064F">
            <w:pPr>
              <w:pStyle w:val="TableText"/>
              <w:rPr>
                <w:rFonts w:cs="Arial"/>
              </w:rPr>
            </w:pPr>
            <w:proofErr w:type="spellStart"/>
            <w:r>
              <w:rPr>
                <w:rFonts w:cs="Arial"/>
              </w:rPr>
              <w:t>ServiceNow</w:t>
            </w:r>
            <w:proofErr w:type="spellEnd"/>
            <w:r>
              <w:rPr>
                <w:rFonts w:cs="Arial"/>
              </w:rPr>
              <w:t xml:space="preserve"> Manager</w:t>
            </w:r>
          </w:p>
        </w:tc>
        <w:tc>
          <w:tcPr>
            <w:tcW w:w="5130" w:type="dxa"/>
            <w:tcBorders>
              <w:top w:val="single" w:sz="12" w:space="0" w:color="auto"/>
              <w:left w:val="single" w:sz="12" w:space="0" w:color="auto"/>
              <w:bottom w:val="single" w:sz="12" w:space="0" w:color="auto"/>
              <w:right w:val="single" w:sz="12" w:space="0" w:color="auto"/>
            </w:tcBorders>
          </w:tcPr>
          <w:p w:rsidR="00022E42" w:rsidRPr="00CF5F5D" w:rsidRDefault="00022E42" w:rsidP="00B1064F">
            <w:pPr>
              <w:pStyle w:val="TableText"/>
              <w:rPr>
                <w:rFonts w:cs="Arial"/>
              </w:rPr>
            </w:pPr>
            <w:r>
              <w:rPr>
                <w:rFonts w:cs="Arial"/>
              </w:rPr>
              <w:t xml:space="preserve">Integration component provided Operations Workflow integration between NLyte and </w:t>
            </w:r>
            <w:proofErr w:type="spellStart"/>
            <w:r>
              <w:rPr>
                <w:rFonts w:cs="Arial"/>
              </w:rPr>
              <w:t>ServiceNow</w:t>
            </w:r>
            <w:proofErr w:type="spellEnd"/>
            <w:r>
              <w:rPr>
                <w:rFonts w:cs="Arial"/>
              </w:rPr>
              <w:t>.</w:t>
            </w:r>
          </w:p>
        </w:tc>
        <w:tc>
          <w:tcPr>
            <w:tcW w:w="1710" w:type="dxa"/>
            <w:tcBorders>
              <w:top w:val="single" w:sz="12" w:space="0" w:color="auto"/>
              <w:left w:val="single" w:sz="12" w:space="0" w:color="auto"/>
              <w:bottom w:val="single" w:sz="12" w:space="0" w:color="auto"/>
              <w:right w:val="single" w:sz="12" w:space="0" w:color="auto"/>
            </w:tcBorders>
          </w:tcPr>
          <w:p w:rsidR="00022E42" w:rsidRDefault="00022E42" w:rsidP="00022E42">
            <w:pPr>
              <w:pStyle w:val="TableText"/>
              <w:rPr>
                <w:rFonts w:cs="Arial"/>
              </w:rPr>
            </w:pPr>
            <w:r>
              <w:rPr>
                <w:rFonts w:cs="Arial"/>
              </w:rPr>
              <w:t>Recommended for Ticketing Systems Integration</w:t>
            </w:r>
          </w:p>
        </w:tc>
      </w:tr>
      <w:tr w:rsidR="00022E42" w:rsidRPr="00CF5F5D" w:rsidTr="00B1064F">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022E42" w:rsidRPr="00CF5F5D" w:rsidRDefault="00022E42" w:rsidP="00B1064F">
            <w:pPr>
              <w:pStyle w:val="TableText"/>
              <w:rPr>
                <w:rFonts w:cs="Arial"/>
              </w:rPr>
            </w:pPr>
            <w:r>
              <w:rPr>
                <w:rFonts w:cs="Arial"/>
              </w:rPr>
              <w:t>SNMP Integrator</w:t>
            </w:r>
          </w:p>
        </w:tc>
        <w:tc>
          <w:tcPr>
            <w:tcW w:w="5130" w:type="dxa"/>
            <w:tcBorders>
              <w:top w:val="single" w:sz="12" w:space="0" w:color="auto"/>
              <w:left w:val="single" w:sz="12" w:space="0" w:color="auto"/>
              <w:bottom w:val="single" w:sz="12" w:space="0" w:color="auto"/>
              <w:right w:val="single" w:sz="12" w:space="0" w:color="auto"/>
            </w:tcBorders>
          </w:tcPr>
          <w:p w:rsidR="00022E42" w:rsidRPr="00CF5F5D" w:rsidRDefault="00022E42" w:rsidP="00B1064F">
            <w:pPr>
              <w:pStyle w:val="TableText"/>
              <w:rPr>
                <w:rFonts w:cs="Arial"/>
              </w:rPr>
            </w:pPr>
            <w:r>
              <w:rPr>
                <w:rFonts w:cs="Arial"/>
              </w:rPr>
              <w:t>Integration component necessary for polling data-center devices includin</w:t>
            </w:r>
            <w:r w:rsidR="001A2184">
              <w:rPr>
                <w:rFonts w:cs="Arial"/>
              </w:rPr>
              <w:t>g Power Distribution Units and p</w:t>
            </w:r>
            <w:r>
              <w:rPr>
                <w:rFonts w:cs="Arial"/>
              </w:rPr>
              <w:t>ower</w:t>
            </w:r>
            <w:r w:rsidR="001A2184">
              <w:rPr>
                <w:rFonts w:cs="Arial"/>
              </w:rPr>
              <w:t>-</w:t>
            </w:r>
            <w:r>
              <w:rPr>
                <w:rFonts w:cs="Arial"/>
              </w:rPr>
              <w:t>strips.</w:t>
            </w:r>
          </w:p>
        </w:tc>
        <w:tc>
          <w:tcPr>
            <w:tcW w:w="1710" w:type="dxa"/>
            <w:tcBorders>
              <w:top w:val="single" w:sz="12" w:space="0" w:color="auto"/>
              <w:left w:val="single" w:sz="12" w:space="0" w:color="auto"/>
              <w:bottom w:val="single" w:sz="12" w:space="0" w:color="auto"/>
              <w:right w:val="single" w:sz="12" w:space="0" w:color="auto"/>
            </w:tcBorders>
          </w:tcPr>
          <w:p w:rsidR="00022E42" w:rsidRDefault="00022E42" w:rsidP="00022E42">
            <w:pPr>
              <w:pStyle w:val="TableText"/>
              <w:rPr>
                <w:rFonts w:cs="Arial"/>
              </w:rPr>
            </w:pPr>
            <w:r>
              <w:rPr>
                <w:rFonts w:cs="Arial"/>
              </w:rPr>
              <w:t>Essential for Power Management</w:t>
            </w:r>
          </w:p>
        </w:tc>
      </w:tr>
      <w:tr w:rsidR="00022E42" w:rsidRPr="00CF5F5D" w:rsidTr="00B1064F">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022E42" w:rsidRDefault="00022E42" w:rsidP="00B1064F">
            <w:pPr>
              <w:pStyle w:val="TableText"/>
              <w:rPr>
                <w:rFonts w:cs="Arial"/>
              </w:rPr>
            </w:pPr>
            <w:r>
              <w:rPr>
                <w:rFonts w:cs="Arial"/>
              </w:rPr>
              <w:t xml:space="preserve">NEO </w:t>
            </w:r>
          </w:p>
        </w:tc>
        <w:tc>
          <w:tcPr>
            <w:tcW w:w="5130" w:type="dxa"/>
            <w:tcBorders>
              <w:top w:val="single" w:sz="12" w:space="0" w:color="auto"/>
              <w:left w:val="single" w:sz="12" w:space="0" w:color="auto"/>
              <w:bottom w:val="single" w:sz="12" w:space="0" w:color="auto"/>
              <w:right w:val="single" w:sz="12" w:space="0" w:color="auto"/>
            </w:tcBorders>
          </w:tcPr>
          <w:p w:rsidR="00022E42" w:rsidRDefault="001A2184" w:rsidP="00B1064F">
            <w:pPr>
              <w:pStyle w:val="TableText"/>
              <w:rPr>
                <w:rFonts w:cs="Arial"/>
              </w:rPr>
            </w:pPr>
            <w:r>
              <w:rPr>
                <w:rFonts w:cs="Arial"/>
              </w:rPr>
              <w:t>Environmental Monitoring, Alerts, and Power Management solution.</w:t>
            </w:r>
          </w:p>
        </w:tc>
        <w:tc>
          <w:tcPr>
            <w:tcW w:w="1710" w:type="dxa"/>
            <w:tcBorders>
              <w:top w:val="single" w:sz="12" w:space="0" w:color="auto"/>
              <w:left w:val="single" w:sz="12" w:space="0" w:color="auto"/>
              <w:bottom w:val="single" w:sz="12" w:space="0" w:color="auto"/>
              <w:right w:val="single" w:sz="12" w:space="0" w:color="auto"/>
            </w:tcBorders>
          </w:tcPr>
          <w:p w:rsidR="00022E42" w:rsidRDefault="001A2184" w:rsidP="00022E42">
            <w:pPr>
              <w:pStyle w:val="TableText"/>
              <w:rPr>
                <w:rFonts w:cs="Arial"/>
              </w:rPr>
            </w:pPr>
            <w:r>
              <w:rPr>
                <w:rFonts w:cs="Arial"/>
              </w:rPr>
              <w:t>Recommended for fine-tuned site management.</w:t>
            </w:r>
          </w:p>
        </w:tc>
      </w:tr>
    </w:tbl>
    <w:p w:rsidR="00022E42" w:rsidRPr="00CF5F5D" w:rsidRDefault="00022E42" w:rsidP="00022E42">
      <w:pPr>
        <w:rPr>
          <w:rFonts w:cs="Arial"/>
          <w:szCs w:val="20"/>
        </w:rPr>
      </w:pPr>
    </w:p>
    <w:p w:rsidR="00022E42" w:rsidRDefault="00022E42" w:rsidP="00022E42">
      <w:pPr>
        <w:rPr>
          <w:rFonts w:cs="Arial"/>
        </w:rPr>
      </w:pPr>
    </w:p>
    <w:p w:rsidR="00F65F32" w:rsidRDefault="00F65F32"/>
    <w:p w:rsidR="00F65F32" w:rsidRDefault="00F65F32"/>
    <w:sectPr w:rsidR="00F65F32">
      <w:footerReference w:type="defaul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71B" w:rsidRDefault="00BA071B" w:rsidP="00C6554A">
      <w:pPr>
        <w:spacing w:before="0" w:after="0" w:line="240" w:lineRule="auto"/>
      </w:pPr>
      <w:r>
        <w:separator/>
      </w:r>
    </w:p>
  </w:endnote>
  <w:endnote w:type="continuationSeparator" w:id="0">
    <w:p w:rsidR="00BA071B" w:rsidRDefault="00BA071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E25D58">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313" w:rsidRDefault="00914313" w:rsidP="00914313">
    <w:pPr>
      <w:pStyle w:val="Footer"/>
      <w:jc w:val="both"/>
    </w:pPr>
    <w:r>
      <w:rPr>
        <w:noProof/>
        <w:color w:val="00A0B8"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D10A9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007ce9 [1614]" strokeweight="1.25pt">
              <w10:wrap anchorx="page" anchory="page"/>
            </v:rect>
          </w:pict>
        </mc:Fallback>
      </mc:AlternateContent>
    </w:r>
    <w:r>
      <w:rPr>
        <w:color w:val="00A0B8" w:themeColor="accent1"/>
      </w:rPr>
      <w:t xml:space="preserve">DRAFT #1 </w:t>
    </w:r>
    <w:r>
      <w:rPr>
        <w:color w:val="00A0B8" w:themeColor="accent1"/>
      </w:rPr>
      <w:tab/>
    </w:r>
    <w:r>
      <w:rPr>
        <w:color w:val="00A0B8" w:themeColor="accent1"/>
      </w:rPr>
      <w:tab/>
    </w:r>
    <w:r>
      <w:rPr>
        <w:color w:val="00A0B8" w:themeColor="accent1"/>
      </w:rPr>
      <w:tab/>
    </w:r>
    <w:r>
      <w:rPr>
        <w:color w:val="00A0B8" w:themeColor="accent1"/>
      </w:rPr>
      <w:tab/>
    </w:r>
    <w:r>
      <w:rPr>
        <w:color w:val="00A0B8" w:themeColor="accent1"/>
      </w:rPr>
      <w:tab/>
    </w:r>
    <w:r>
      <w:rPr>
        <w:color w:val="00A0B8" w:themeColor="accent1"/>
      </w:rPr>
      <w:tab/>
    </w:r>
    <w:r>
      <w:rPr>
        <w:color w:val="00A0B8" w:themeColor="accent1"/>
      </w:rPr>
      <w:tab/>
    </w:r>
    <w:r>
      <w:rPr>
        <w:color w:val="00A0B8" w:themeColor="accent1"/>
      </w:rPr>
      <w:tab/>
    </w:r>
    <w:r>
      <w:rPr>
        <w:color w:val="00A0B8" w:themeColor="accent1"/>
      </w:rPr>
      <w:tab/>
    </w:r>
    <w:r>
      <w:rPr>
        <w:color w:val="00A0B8" w:themeColor="accent1"/>
      </w:rPr>
      <w:tab/>
    </w:r>
    <w:r>
      <w:rPr>
        <w:rFonts w:asciiTheme="majorHAnsi" w:eastAsiaTheme="majorEastAsia" w:hAnsiTheme="majorHAnsi" w:cstheme="majorBidi"/>
        <w:color w:val="00A0B8" w:themeColor="accent1"/>
        <w:sz w:val="20"/>
        <w:szCs w:val="20"/>
      </w:rPr>
      <w:t xml:space="preserve">pg. </w:t>
    </w:r>
    <w:r>
      <w:rPr>
        <w:rFonts w:eastAsiaTheme="minorEastAsia"/>
        <w:color w:val="00A0B8" w:themeColor="accent1"/>
        <w:sz w:val="20"/>
        <w:szCs w:val="20"/>
      </w:rPr>
      <w:fldChar w:fldCharType="begin"/>
    </w:r>
    <w:r>
      <w:rPr>
        <w:color w:val="00A0B8" w:themeColor="accent1"/>
        <w:sz w:val="20"/>
        <w:szCs w:val="20"/>
      </w:rPr>
      <w:instrText xml:space="preserve"> PAGE    \* MERGEFORMAT </w:instrText>
    </w:r>
    <w:r>
      <w:rPr>
        <w:rFonts w:eastAsiaTheme="minorEastAsia"/>
        <w:color w:val="00A0B8" w:themeColor="accent1"/>
        <w:sz w:val="20"/>
        <w:szCs w:val="20"/>
      </w:rPr>
      <w:fldChar w:fldCharType="separate"/>
    </w:r>
    <w:r w:rsidR="00E25D58" w:rsidRPr="00E25D58">
      <w:rPr>
        <w:rFonts w:asciiTheme="majorHAnsi" w:eastAsiaTheme="majorEastAsia" w:hAnsiTheme="majorHAnsi" w:cstheme="majorBidi"/>
        <w:noProof/>
        <w:color w:val="00A0B8" w:themeColor="accent1"/>
        <w:sz w:val="20"/>
        <w:szCs w:val="20"/>
      </w:rPr>
      <w:t>0</w:t>
    </w:r>
    <w:r>
      <w:rPr>
        <w:rFonts w:asciiTheme="majorHAnsi" w:eastAsiaTheme="majorEastAsia" w:hAnsiTheme="majorHAnsi" w:cstheme="majorBidi"/>
        <w:noProof/>
        <w:color w:val="00A0B8"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71B" w:rsidRDefault="00BA071B" w:rsidP="00C6554A">
      <w:pPr>
        <w:spacing w:before="0" w:after="0" w:line="240" w:lineRule="auto"/>
      </w:pPr>
      <w:r>
        <w:separator/>
      </w:r>
    </w:p>
  </w:footnote>
  <w:footnote w:type="continuationSeparator" w:id="0">
    <w:p w:rsidR="00BA071B" w:rsidRDefault="00BA071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CC6F6B"/>
    <w:multiLevelType w:val="hybridMultilevel"/>
    <w:tmpl w:val="4050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1411C1C"/>
    <w:multiLevelType w:val="hybridMultilevel"/>
    <w:tmpl w:val="51F45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CA2035"/>
    <w:multiLevelType w:val="hybridMultilevel"/>
    <w:tmpl w:val="782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D29FC"/>
    <w:multiLevelType w:val="hybridMultilevel"/>
    <w:tmpl w:val="DEBC9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2617F4"/>
    <w:multiLevelType w:val="hybridMultilevel"/>
    <w:tmpl w:val="02560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1"/>
  </w:num>
  <w:num w:numId="18">
    <w:abstractNumId w:val="16"/>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C02"/>
    <w:rsid w:val="00022E42"/>
    <w:rsid w:val="00044476"/>
    <w:rsid w:val="00045A7C"/>
    <w:rsid w:val="00075D19"/>
    <w:rsid w:val="001A2184"/>
    <w:rsid w:val="001A5F22"/>
    <w:rsid w:val="002024A8"/>
    <w:rsid w:val="00242F38"/>
    <w:rsid w:val="002554CD"/>
    <w:rsid w:val="002640E4"/>
    <w:rsid w:val="0026760A"/>
    <w:rsid w:val="00275375"/>
    <w:rsid w:val="00293B83"/>
    <w:rsid w:val="002B4294"/>
    <w:rsid w:val="00333D0D"/>
    <w:rsid w:val="003711CF"/>
    <w:rsid w:val="003C5AD8"/>
    <w:rsid w:val="004013E2"/>
    <w:rsid w:val="00404C00"/>
    <w:rsid w:val="00420EF4"/>
    <w:rsid w:val="00425F38"/>
    <w:rsid w:val="00435A6B"/>
    <w:rsid w:val="00475AEF"/>
    <w:rsid w:val="00476160"/>
    <w:rsid w:val="004C049F"/>
    <w:rsid w:val="004D6BA0"/>
    <w:rsid w:val="005000E2"/>
    <w:rsid w:val="00566D62"/>
    <w:rsid w:val="005A6C02"/>
    <w:rsid w:val="005C7C23"/>
    <w:rsid w:val="005D601C"/>
    <w:rsid w:val="00630392"/>
    <w:rsid w:val="00681EE7"/>
    <w:rsid w:val="006A0DB9"/>
    <w:rsid w:val="006A3CE7"/>
    <w:rsid w:val="006B2A6F"/>
    <w:rsid w:val="00701766"/>
    <w:rsid w:val="0073077B"/>
    <w:rsid w:val="00733C78"/>
    <w:rsid w:val="007C1D28"/>
    <w:rsid w:val="007C30EE"/>
    <w:rsid w:val="007D00F6"/>
    <w:rsid w:val="00843791"/>
    <w:rsid w:val="008654FA"/>
    <w:rsid w:val="00870928"/>
    <w:rsid w:val="008746D3"/>
    <w:rsid w:val="008820A7"/>
    <w:rsid w:val="0089175F"/>
    <w:rsid w:val="008E2833"/>
    <w:rsid w:val="00914313"/>
    <w:rsid w:val="00951779"/>
    <w:rsid w:val="009A3A74"/>
    <w:rsid w:val="009C29BF"/>
    <w:rsid w:val="00A00909"/>
    <w:rsid w:val="00A30F3B"/>
    <w:rsid w:val="00A45D87"/>
    <w:rsid w:val="00A93313"/>
    <w:rsid w:val="00B85419"/>
    <w:rsid w:val="00B972D6"/>
    <w:rsid w:val="00BA071B"/>
    <w:rsid w:val="00BA4527"/>
    <w:rsid w:val="00BE6E9F"/>
    <w:rsid w:val="00C560CE"/>
    <w:rsid w:val="00C6554A"/>
    <w:rsid w:val="00C877C0"/>
    <w:rsid w:val="00CB2872"/>
    <w:rsid w:val="00CD2C39"/>
    <w:rsid w:val="00D9778F"/>
    <w:rsid w:val="00DA6D1B"/>
    <w:rsid w:val="00DC2516"/>
    <w:rsid w:val="00DD0E0A"/>
    <w:rsid w:val="00E25D58"/>
    <w:rsid w:val="00E37F1A"/>
    <w:rsid w:val="00ED7C44"/>
    <w:rsid w:val="00F2319B"/>
    <w:rsid w:val="00F33121"/>
    <w:rsid w:val="00F65F32"/>
    <w:rsid w:val="00FD6961"/>
    <w:rsid w:val="00FE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DF207"/>
  <w15:chartTrackingRefBased/>
  <w15:docId w15:val="{46C4EA5C-0407-4DC2-8F06-3A78E9B7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37F1A"/>
    <w:pPr>
      <w:ind w:left="720"/>
      <w:contextualSpacing/>
    </w:pPr>
  </w:style>
  <w:style w:type="paragraph" w:customStyle="1" w:styleId="TableText">
    <w:name w:val="Table Text"/>
    <w:basedOn w:val="Normal"/>
    <w:rsid w:val="00022E42"/>
    <w:pPr>
      <w:spacing w:before="40" w:after="40" w:line="240" w:lineRule="auto"/>
    </w:pPr>
    <w:rPr>
      <w:rFonts w:ascii="Arial" w:eastAsia="Times New Roman" w:hAnsi="Arial" w:cs="Times New Roman"/>
      <w:bCs/>
      <w:color w:val="000000"/>
      <w:sz w:val="20"/>
      <w:szCs w:val="20"/>
    </w:rPr>
  </w:style>
  <w:style w:type="paragraph" w:customStyle="1" w:styleId="TableHeader">
    <w:name w:val="Table Header"/>
    <w:basedOn w:val="Normal"/>
    <w:rsid w:val="00022E42"/>
    <w:pPr>
      <w:spacing w:before="40" w:after="40" w:line="240" w:lineRule="auto"/>
    </w:pPr>
    <w:rPr>
      <w:rFonts w:ascii="Arial" w:eastAsia="Times New Roman" w:hAnsi="Arial" w:cs="Arial"/>
      <w:b/>
      <w:color w:val="FFFFFF"/>
      <w:sz w:val="20"/>
      <w:szCs w:val="20"/>
    </w:rPr>
  </w:style>
  <w:style w:type="table" w:styleId="TableGrid">
    <w:name w:val="Table Grid"/>
    <w:basedOn w:val="TableNormal"/>
    <w:uiPriority w:val="39"/>
    <w:rsid w:val="00FD69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D69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ENNINGTO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1628</TotalTime>
  <Pages>12</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PPENNINGTON</dc:creator>
  <cp:keywords/>
  <dc:description/>
  <cp:lastModifiedBy>PPENNINGTON</cp:lastModifiedBy>
  <cp:revision>29</cp:revision>
  <dcterms:created xsi:type="dcterms:W3CDTF">2016-12-04T19:49:00Z</dcterms:created>
  <dcterms:modified xsi:type="dcterms:W3CDTF">2017-03-12T14:50:00Z</dcterms:modified>
</cp:coreProperties>
</file>