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9A363" w14:textId="2F6BD7E1" w:rsidR="004C1AE7" w:rsidRDefault="004C1AE7" w:rsidP="004C1AE7">
      <w:pPr>
        <w:pStyle w:val="Heading1"/>
        <w:jc w:val="center"/>
      </w:pPr>
      <w:r>
        <w:t>God’s Created Order</w:t>
      </w:r>
    </w:p>
    <w:p w14:paraId="35CB6C39" w14:textId="77777777" w:rsidR="00D1168C" w:rsidRDefault="00D1168C" w:rsidP="00D1168C">
      <w:pPr>
        <w:pStyle w:val="Heading2"/>
        <w:spacing w:before="360" w:after="240"/>
        <w:rPr>
          <w:rFonts w:ascii="Segoe UI" w:hAnsi="Segoe UI" w:cs="Segoe UI"/>
          <w:color w:val="352F3D"/>
        </w:rPr>
      </w:pPr>
      <w:r>
        <w:rPr>
          <w:rFonts w:ascii="Segoe UI" w:hAnsi="Segoe UI" w:cs="Segoe UI"/>
          <w:color w:val="352F3D"/>
        </w:rPr>
        <w:t>What This Paper Claims</w:t>
      </w:r>
    </w:p>
    <w:p w14:paraId="580384D2"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paper holds one position, and it is a narrow one.</w:t>
      </w:r>
    </w:p>
    <w:p w14:paraId="1A0B5C62"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The restriction in 1 Timothy 2:12 applies to authoritative doctrinal teaching over men in the gathered church, and to the elder or overseer office attached to it.</w:t>
      </w:r>
      <w:r>
        <w:rPr>
          <w:rFonts w:ascii="Segoe UI" w:hAnsi="Segoe UI" w:cs="Segoe UI"/>
          <w:color w:val="352F3D"/>
          <w:sz w:val="21"/>
          <w:szCs w:val="21"/>
        </w:rPr>
        <w:t> It does not apply to every form of speech.</w:t>
      </w:r>
    </w:p>
    <w:p w14:paraId="40E3EB40" w14:textId="01F652D1"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That distinction matters, and the rest of this paper depends on it. Some hold a broader view </w:t>
      </w:r>
      <w:r>
        <w:rPr>
          <w:rFonts w:ascii="Segoe UI" w:hAnsi="Segoe UI" w:cs="Segoe UI"/>
          <w:color w:val="352F3D"/>
          <w:sz w:val="21"/>
          <w:szCs w:val="21"/>
        </w:rPr>
        <w:t xml:space="preserve">- </w:t>
      </w:r>
      <w:r>
        <w:rPr>
          <w:rFonts w:ascii="Segoe UI" w:hAnsi="Segoe UI" w:cs="Segoe UI"/>
          <w:color w:val="352F3D"/>
          <w:sz w:val="21"/>
          <w:szCs w:val="21"/>
        </w:rPr>
        <w:t>that Scripture restricts women from speaking at all in the assembly, and from baptizing or presiding at the Lord's Supper. That view has real support in early church practice</w:t>
      </w:r>
      <w:r>
        <w:rPr>
          <w:rFonts w:ascii="Segoe UI" w:hAnsi="Segoe UI" w:cs="Segoe UI"/>
          <w:color w:val="352F3D"/>
          <w:sz w:val="21"/>
          <w:szCs w:val="21"/>
        </w:rPr>
        <w:t xml:space="preserve"> as well as in subsequent normative church practice</w:t>
      </w:r>
      <w:r>
        <w:rPr>
          <w:rFonts w:ascii="Segoe UI" w:hAnsi="Segoe UI" w:cs="Segoe UI"/>
          <w:color w:val="352F3D"/>
          <w:sz w:val="21"/>
          <w:szCs w:val="21"/>
        </w:rPr>
        <w:t>. It does not have the same support in apostolic command. Section 5 explains why this paper does not claim it.</w:t>
      </w:r>
    </w:p>
    <w:p w14:paraId="02C4D351"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The Storyline</w:t>
      </w:r>
    </w:p>
    <w:p w14:paraId="53EB6E77"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biblical discussion of roles in the church belongs inside the larger storyline of Scripture: </w:t>
      </w:r>
      <w:r>
        <w:rPr>
          <w:rStyle w:val="Strong"/>
          <w:rFonts w:ascii="Segoe UI" w:hAnsi="Segoe UI" w:cs="Segoe UI"/>
          <w:color w:val="352F3D"/>
          <w:sz w:val="21"/>
          <w:szCs w:val="21"/>
        </w:rPr>
        <w:t>creation, fall, redemption, and new creation.</w:t>
      </w:r>
    </w:p>
    <w:p w14:paraId="09F9B33D"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In Genesis 1–2, men and women are created equally in the image of God and share the mandate to rule the earth. At the same time, the creation narrative introduces an </w:t>
      </w:r>
      <w:r>
        <w:rPr>
          <w:rStyle w:val="Strong"/>
          <w:rFonts w:ascii="Segoe UI" w:hAnsi="Segoe UI" w:cs="Segoe UI"/>
          <w:color w:val="352F3D"/>
          <w:sz w:val="21"/>
          <w:szCs w:val="21"/>
        </w:rPr>
        <w:t>ordered partnership</w:t>
      </w:r>
      <w:r>
        <w:rPr>
          <w:rFonts w:ascii="Segoe UI" w:hAnsi="Segoe UI" w:cs="Segoe UI"/>
          <w:color w:val="352F3D"/>
          <w:sz w:val="21"/>
          <w:szCs w:val="21"/>
        </w:rPr>
        <w:t>. Adam is formed first. Eve is created from him as a corresponding helper.</w:t>
      </w:r>
    </w:p>
    <w:p w14:paraId="4B5DD3C5"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differentiation exists </w:t>
      </w:r>
      <w:r>
        <w:rPr>
          <w:rStyle w:val="Strong"/>
          <w:rFonts w:ascii="Segoe UI" w:hAnsi="Segoe UI" w:cs="Segoe UI"/>
          <w:color w:val="352F3D"/>
          <w:sz w:val="21"/>
          <w:szCs w:val="21"/>
        </w:rPr>
        <w:t>before the fall</w:t>
      </w:r>
      <w:r>
        <w:rPr>
          <w:rFonts w:ascii="Segoe UI" w:hAnsi="Segoe UI" w:cs="Segoe UI"/>
          <w:color w:val="352F3D"/>
          <w:sz w:val="21"/>
          <w:szCs w:val="21"/>
        </w:rPr>
        <w:t xml:space="preserve">. That timing carries weight. Male–female distinction is part of God's good design, not a product of sin. Nothing established before the transgression can be treated </w:t>
      </w:r>
      <w:proofErr w:type="gramStart"/>
      <w:r>
        <w:rPr>
          <w:rFonts w:ascii="Segoe UI" w:hAnsi="Segoe UI" w:cs="Segoe UI"/>
          <w:color w:val="352F3D"/>
          <w:sz w:val="21"/>
          <w:szCs w:val="21"/>
        </w:rPr>
        <w:t>as a consequence of</w:t>
      </w:r>
      <w:proofErr w:type="gramEnd"/>
      <w:r>
        <w:rPr>
          <w:rFonts w:ascii="Segoe UI" w:hAnsi="Segoe UI" w:cs="Segoe UI"/>
          <w:color w:val="352F3D"/>
          <w:sz w:val="21"/>
          <w:szCs w:val="21"/>
        </w:rPr>
        <w:t xml:space="preserve"> it.</w:t>
      </w:r>
    </w:p>
    <w:p w14:paraId="699217A3"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The Fall</w:t>
      </w:r>
    </w:p>
    <w:p w14:paraId="24A1B7B6"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Genesis 3 introduces disorder. The serpent deceives Eve. Adam fails to guard. The created harmony collapses into mistrust and domination.</w:t>
      </w:r>
    </w:p>
    <w:p w14:paraId="6B117F61"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appeals to this narrative in 1 Timothy 2:13–14. He does so not to assert female inferiority but to show how </w:t>
      </w:r>
      <w:r>
        <w:rPr>
          <w:rStyle w:val="Strong"/>
          <w:rFonts w:ascii="Segoe UI" w:hAnsi="Segoe UI" w:cs="Segoe UI"/>
          <w:color w:val="352F3D"/>
          <w:sz w:val="21"/>
          <w:szCs w:val="21"/>
        </w:rPr>
        <w:t>deception and disorder enter when God's design is disrupted</w:t>
      </w:r>
      <w:r>
        <w:rPr>
          <w:rFonts w:ascii="Segoe UI" w:hAnsi="Segoe UI" w:cs="Segoe UI"/>
          <w:color w:val="352F3D"/>
          <w:sz w:val="21"/>
          <w:szCs w:val="21"/>
        </w:rPr>
        <w:t>. In a church where false teaching threatened the community, Paul emphasized guarding doctrinal authority and maintaining ordered relationships.</w:t>
      </w:r>
    </w:p>
    <w:p w14:paraId="1950AA45"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Two cautions on reading this rightly.</w:t>
      </w:r>
    </w:p>
    <w:p w14:paraId="46A0E079"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lastRenderedPageBreak/>
        <w:t>Paul is describing what happened in the garden. He is not stating a general property of women. The text says Eve was deceived. It does not say women are more deceivable.</w:t>
      </w:r>
    </w:p>
    <w:p w14:paraId="24D05FC5"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And Scripture assigns Adam the primary responsibility. "Through one man sin entered into the world" (Romans 5:12). Adam was not deceived. He transgressed knowingly, which Scripture treats as the graver failure.</w:t>
      </w:r>
    </w:p>
    <w:p w14:paraId="68F6CBED"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Christ and the Pattern</w:t>
      </w:r>
    </w:p>
    <w:p w14:paraId="5EFA2840" w14:textId="7DF84039"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frames Adam as a </w:t>
      </w:r>
      <w:r>
        <w:rPr>
          <w:rStyle w:val="Strong"/>
          <w:rFonts w:ascii="Segoe UI" w:hAnsi="Segoe UI" w:cs="Segoe UI"/>
          <w:color w:val="352F3D"/>
          <w:sz w:val="21"/>
          <w:szCs w:val="21"/>
        </w:rPr>
        <w:t>type of Christ</w:t>
      </w:r>
      <w:r>
        <w:rPr>
          <w:rFonts w:ascii="Segoe UI" w:hAnsi="Segoe UI" w:cs="Segoe UI"/>
          <w:color w:val="352F3D"/>
          <w:sz w:val="21"/>
          <w:szCs w:val="21"/>
        </w:rPr>
        <w:t xml:space="preserve"> (Romans 5:14) </w:t>
      </w:r>
      <w:r>
        <w:rPr>
          <w:rFonts w:ascii="Segoe UI" w:hAnsi="Segoe UI" w:cs="Segoe UI"/>
          <w:color w:val="352F3D"/>
          <w:sz w:val="21"/>
          <w:szCs w:val="21"/>
        </w:rPr>
        <w:t>-</w:t>
      </w:r>
      <w:r>
        <w:rPr>
          <w:rFonts w:ascii="Segoe UI" w:hAnsi="Segoe UI" w:cs="Segoe UI"/>
          <w:color w:val="352F3D"/>
          <w:sz w:val="21"/>
          <w:szCs w:val="21"/>
        </w:rPr>
        <w:t xml:space="preserve"> the "last Adam" who restores humanity through obedience.</w:t>
      </w:r>
    </w:p>
    <w:p w14:paraId="3DE70155"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In Ephesians 5, Paul connects the Genesis marriage pattern to </w:t>
      </w:r>
      <w:r>
        <w:rPr>
          <w:rStyle w:val="Strong"/>
          <w:rFonts w:ascii="Segoe UI" w:hAnsi="Segoe UI" w:cs="Segoe UI"/>
          <w:color w:val="352F3D"/>
          <w:sz w:val="21"/>
          <w:szCs w:val="21"/>
        </w:rPr>
        <w:t>Christ and the church</w:t>
      </w:r>
      <w:r>
        <w:rPr>
          <w:rFonts w:ascii="Segoe UI" w:hAnsi="Segoe UI" w:cs="Segoe UI"/>
          <w:color w:val="352F3D"/>
          <w:sz w:val="21"/>
          <w:szCs w:val="21"/>
        </w:rPr>
        <w:t>. The original relationship between Adam and Eve anticipates the union between Christ the head and His people the bride. From this angle, some aspects of church order may intentionally reflect the creational and redemptive pattern.</w:t>
      </w:r>
    </w:p>
    <w:p w14:paraId="622AEACD"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What Women Do in the Church</w:t>
      </w:r>
    </w:p>
    <w:p w14:paraId="237E9AE8"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Scripture shows men and women participating together in ministry, and the list is substantial.</w:t>
      </w:r>
    </w:p>
    <w:p w14:paraId="4B09875A"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Women </w:t>
      </w:r>
      <w:r>
        <w:rPr>
          <w:rStyle w:val="Strong"/>
          <w:rFonts w:ascii="Segoe UI" w:hAnsi="Segoe UI" w:cs="Segoe UI"/>
          <w:color w:val="352F3D"/>
          <w:sz w:val="21"/>
          <w:szCs w:val="21"/>
        </w:rPr>
        <w:t>pray and prophesy in the gathered church</w:t>
      </w:r>
      <w:r>
        <w:rPr>
          <w:rFonts w:ascii="Segoe UI" w:hAnsi="Segoe UI" w:cs="Segoe UI"/>
          <w:color w:val="352F3D"/>
          <w:sz w:val="21"/>
          <w:szCs w:val="21"/>
        </w:rPr>
        <w:t> (1 Corinthians 11:5). Paul regulates how. He does not forbid whether.</w:t>
      </w:r>
    </w:p>
    <w:p w14:paraId="479A7611" w14:textId="2A27F273"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Women serve as </w:t>
      </w:r>
      <w:r>
        <w:rPr>
          <w:rStyle w:val="Strong"/>
          <w:rFonts w:ascii="Segoe UI" w:hAnsi="Segoe UI" w:cs="Segoe UI"/>
          <w:color w:val="352F3D"/>
          <w:sz w:val="21"/>
          <w:szCs w:val="21"/>
        </w:rPr>
        <w:t>coworkers in the gospel</w:t>
      </w:r>
      <w:r>
        <w:rPr>
          <w:rFonts w:ascii="Segoe UI" w:hAnsi="Segoe UI" w:cs="Segoe UI"/>
          <w:color w:val="352F3D"/>
          <w:sz w:val="21"/>
          <w:szCs w:val="21"/>
        </w:rPr>
        <w:t> (Romans 16; Philippians 4:2–3). Phoebe is called a </w:t>
      </w:r>
      <w:proofErr w:type="spellStart"/>
      <w:r>
        <w:rPr>
          <w:rStyle w:val="Emphasis"/>
          <w:rFonts w:ascii="Segoe UI" w:hAnsi="Segoe UI" w:cs="Segoe UI"/>
          <w:color w:val="352F3D"/>
          <w:sz w:val="21"/>
          <w:szCs w:val="21"/>
        </w:rPr>
        <w:t>diakonos</w:t>
      </w:r>
      <w:proofErr w:type="spellEnd"/>
      <w:r>
        <w:rPr>
          <w:rFonts w:ascii="Segoe UI" w:hAnsi="Segoe UI" w:cs="Segoe UI"/>
          <w:color w:val="352F3D"/>
          <w:sz w:val="21"/>
          <w:szCs w:val="21"/>
        </w:rPr>
        <w:t> of the church at Cenchrea (Romans 16:1).</w:t>
      </w:r>
      <w:r>
        <w:rPr>
          <w:rFonts w:ascii="Segoe UI" w:hAnsi="Segoe UI" w:cs="Segoe UI"/>
          <w:color w:val="352F3D"/>
          <w:sz w:val="21"/>
          <w:szCs w:val="21"/>
        </w:rPr>
        <w:t xml:space="preserve">  This is related to her good service and not that she serves in the office of deacon (a church role described as having a wife; 1 Timothy 3:12).</w:t>
      </w:r>
    </w:p>
    <w:p w14:paraId="0BB03302"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Women </w:t>
      </w:r>
      <w:r>
        <w:rPr>
          <w:rStyle w:val="Strong"/>
          <w:rFonts w:ascii="Segoe UI" w:hAnsi="Segoe UI" w:cs="Segoe UI"/>
          <w:color w:val="352F3D"/>
          <w:sz w:val="21"/>
          <w:szCs w:val="21"/>
        </w:rPr>
        <w:t>teach in appropriate contexts.</w:t>
      </w:r>
      <w:r>
        <w:rPr>
          <w:rFonts w:ascii="Segoe UI" w:hAnsi="Segoe UI" w:cs="Segoe UI"/>
          <w:color w:val="352F3D"/>
          <w:sz w:val="21"/>
          <w:szCs w:val="21"/>
        </w:rPr>
        <w:t> Titus 2 instructs older women to teach what is good and train younger women. The verb root is the same one used in 1 Timothy 2:12. Paul is not against women teaching. He is regulating one setting.</w:t>
      </w:r>
    </w:p>
    <w:p w14:paraId="01A19C7C"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Women </w:t>
      </w:r>
      <w:r>
        <w:rPr>
          <w:rStyle w:val="Strong"/>
          <w:rFonts w:ascii="Segoe UI" w:hAnsi="Segoe UI" w:cs="Segoe UI"/>
          <w:color w:val="352F3D"/>
          <w:sz w:val="21"/>
          <w:szCs w:val="21"/>
        </w:rPr>
        <w:t>instruct privately.</w:t>
      </w:r>
      <w:r>
        <w:rPr>
          <w:rFonts w:ascii="Segoe UI" w:hAnsi="Segoe UI" w:cs="Segoe UI"/>
          <w:color w:val="352F3D"/>
          <w:sz w:val="21"/>
          <w:szCs w:val="21"/>
        </w:rPr>
        <w:t> Priscilla, with Aquila, took Apollos aside and explained the way of God more accurately (Acts 18:26). The text specifies a private setting, not an assembly.</w:t>
      </w:r>
    </w:p>
    <w:p w14:paraId="2FFD02D6"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5. What This Paper Does Not Claim</w:t>
      </w:r>
    </w:p>
    <w:p w14:paraId="186291A7"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Precision here protects the argument.</w:t>
      </w:r>
    </w:p>
    <w:p w14:paraId="187A84B5" w14:textId="3BE4D08B" w:rsidR="00D1168C" w:rsidRDefault="00D1168C" w:rsidP="00D1168C">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Scripture does not explicitly forbid a woman to baptize.</w:t>
      </w:r>
      <w:r>
        <w:rPr>
          <w:rFonts w:ascii="Segoe UI" w:hAnsi="Segoe UI" w:cs="Segoe UI"/>
          <w:color w:val="352F3D"/>
          <w:sz w:val="21"/>
          <w:szCs w:val="21"/>
        </w:rPr>
        <w:t xml:space="preserve"> The early church did forbid it </w:t>
      </w:r>
      <w:r>
        <w:rPr>
          <w:rFonts w:ascii="Segoe UI" w:hAnsi="Segoe UI" w:cs="Segoe UI"/>
          <w:color w:val="352F3D"/>
          <w:sz w:val="21"/>
          <w:szCs w:val="21"/>
        </w:rPr>
        <w:t xml:space="preserve">- </w:t>
      </w:r>
      <w:r>
        <w:rPr>
          <w:rFonts w:ascii="Segoe UI" w:hAnsi="Segoe UI" w:cs="Segoe UI"/>
          <w:color w:val="352F3D"/>
          <w:sz w:val="21"/>
          <w:szCs w:val="21"/>
        </w:rPr>
        <w:t>Tertullian in </w:t>
      </w:r>
      <w:r>
        <w:rPr>
          <w:rStyle w:val="Emphasis"/>
          <w:rFonts w:ascii="Segoe UI" w:hAnsi="Segoe UI" w:cs="Segoe UI"/>
          <w:color w:val="352F3D"/>
          <w:sz w:val="21"/>
          <w:szCs w:val="21"/>
        </w:rPr>
        <w:t>On Baptism</w:t>
      </w:r>
      <w:r>
        <w:rPr>
          <w:rFonts w:ascii="Segoe UI" w:hAnsi="Segoe UI" w:cs="Segoe UI"/>
          <w:color w:val="352F3D"/>
          <w:sz w:val="21"/>
          <w:szCs w:val="21"/>
        </w:rPr>
        <w:t> 17, and the Syrian </w:t>
      </w:r>
      <w:proofErr w:type="spellStart"/>
      <w:r>
        <w:rPr>
          <w:rStyle w:val="Emphasis"/>
          <w:rFonts w:ascii="Segoe UI" w:hAnsi="Segoe UI" w:cs="Segoe UI"/>
          <w:color w:val="352F3D"/>
          <w:sz w:val="21"/>
          <w:szCs w:val="21"/>
        </w:rPr>
        <w:t>Didascalia</w:t>
      </w:r>
      <w:proofErr w:type="spellEnd"/>
      <w:r>
        <w:rPr>
          <w:rFonts w:ascii="Segoe UI" w:hAnsi="Segoe UI" w:cs="Segoe UI"/>
          <w:color w:val="352F3D"/>
          <w:sz w:val="21"/>
          <w:szCs w:val="21"/>
        </w:rPr>
        <w:t>, both plainly. That testimony is weighty evidence of apostolic practice. It is not an apostolic command, and this paper will not present it as one.</w:t>
      </w:r>
    </w:p>
    <w:p w14:paraId="2F41C518"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lastRenderedPageBreak/>
        <w:t>Scripture does not specify who presides at the Lord's Supper.</w:t>
      </w:r>
      <w:r>
        <w:rPr>
          <w:rFonts w:ascii="Segoe UI" w:hAnsi="Segoe UI" w:cs="Segoe UI"/>
          <w:color w:val="352F3D"/>
          <w:sz w:val="21"/>
          <w:szCs w:val="21"/>
        </w:rPr>
        <w:t> Tertullian lists "offering" among the functions restricted to men, and the early church was uniform on it. Again: strong practice, no stated command.</w:t>
      </w:r>
    </w:p>
    <w:p w14:paraId="093307CB"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Scripture does not require women to be silent in every sense.</w:t>
      </w:r>
      <w:r>
        <w:rPr>
          <w:rFonts w:ascii="Segoe UI" w:hAnsi="Segoe UI" w:cs="Segoe UI"/>
          <w:color w:val="352F3D"/>
          <w:sz w:val="21"/>
          <w:szCs w:val="21"/>
        </w:rPr>
        <w:t> Any reading that requires 1 Corinthians 11:5 to disappear is a reading this paper rejects. Paul assumes women pray and prophesy in the assembly. He regulates the manner.</w:t>
      </w:r>
    </w:p>
    <w:p w14:paraId="05BEBF51" w14:textId="11514B8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So</w:t>
      </w:r>
      <w:r>
        <w:rPr>
          <w:rFonts w:ascii="Segoe UI" w:hAnsi="Segoe UI" w:cs="Segoe UI"/>
          <w:color w:val="352F3D"/>
          <w:sz w:val="21"/>
          <w:szCs w:val="21"/>
        </w:rPr>
        <w:t xml:space="preserve">, </w:t>
      </w:r>
      <w:r>
        <w:rPr>
          <w:rFonts w:ascii="Segoe UI" w:hAnsi="Segoe UI" w:cs="Segoe UI"/>
          <w:color w:val="352F3D"/>
          <w:sz w:val="21"/>
          <w:szCs w:val="21"/>
        </w:rPr>
        <w:t>the honest ranking runs like this. The exclusion of women from the elder office rests on explicit qualifications (1 Timothy 3:2; Titus 1:6). The restriction on authoritative doctrinal teaching over men rests on an explicit prohibition with an explicit creation rationale (1 Timothy 2:12–13). Restrictions on baptizing and presiding rest on universal early practice rather than on command.</w:t>
      </w:r>
    </w:p>
    <w:p w14:paraId="7C28B8D9"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Why the Restriction Is Not Merely Cultural</w:t>
      </w:r>
    </w:p>
    <w:p w14:paraId="414847CB"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knew how to give a local, reputational reason. He gives one in the same letter: instruction to younger widows so "the adversary is given no occasion for slander" (1 Timothy 5:14).</w:t>
      </w:r>
    </w:p>
    <w:p w14:paraId="0CF71F93" w14:textId="13FF28F4"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He does not use that kind of reason in 2:13</w:t>
      </w:r>
      <w:r>
        <w:rPr>
          <w:rFonts w:ascii="Segoe UI" w:hAnsi="Segoe UI" w:cs="Segoe UI"/>
          <w:color w:val="352F3D"/>
          <w:sz w:val="21"/>
          <w:szCs w:val="21"/>
        </w:rPr>
        <w:t>-</w:t>
      </w:r>
      <w:r>
        <w:rPr>
          <w:rFonts w:ascii="Segoe UI" w:hAnsi="Segoe UI" w:cs="Segoe UI"/>
          <w:color w:val="352F3D"/>
          <w:sz w:val="21"/>
          <w:szCs w:val="21"/>
        </w:rPr>
        <w:t xml:space="preserve">14. </w:t>
      </w:r>
      <w:r w:rsidR="00566507">
        <w:rPr>
          <w:rFonts w:ascii="Segoe UI" w:hAnsi="Segoe UI" w:cs="Segoe UI"/>
          <w:color w:val="352F3D"/>
          <w:sz w:val="21"/>
          <w:szCs w:val="21"/>
        </w:rPr>
        <w:t>Instead,</w:t>
      </w:r>
      <w:r>
        <w:rPr>
          <w:rFonts w:ascii="Segoe UI" w:hAnsi="Segoe UI" w:cs="Segoe UI"/>
          <w:color w:val="352F3D"/>
          <w:sz w:val="21"/>
          <w:szCs w:val="21"/>
        </w:rPr>
        <w:t xml:space="preserve"> he writes, "</w:t>
      </w:r>
      <w:r>
        <w:rPr>
          <w:rStyle w:val="Strong"/>
          <w:rFonts w:ascii="Segoe UI" w:hAnsi="Segoe UI" w:cs="Segoe UI"/>
          <w:color w:val="352F3D"/>
          <w:sz w:val="21"/>
          <w:szCs w:val="21"/>
        </w:rPr>
        <w:t>For</w:t>
      </w:r>
      <w:r>
        <w:rPr>
          <w:rFonts w:ascii="Segoe UI" w:hAnsi="Segoe UI" w:cs="Segoe UI"/>
          <w:color w:val="352F3D"/>
          <w:sz w:val="21"/>
          <w:szCs w:val="21"/>
        </w:rPr>
        <w:t> Adam was formed first and then Eve."</w:t>
      </w:r>
    </w:p>
    <w:p w14:paraId="7F83024C"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That word "for" marks his stated rationale. Given a choice between a local argument and a creation argument, in a letter where he demonstrably knows how to make both, Paul reaches past Ephesus to Genesis.</w:t>
      </w:r>
    </w:p>
    <w:p w14:paraId="5FFC0AC7" w14:textId="218FE9F3"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This is the strongest internal evidence that the instruction is not a culturally contingent </w:t>
      </w:r>
      <w:proofErr w:type="gramStart"/>
      <w:r>
        <w:rPr>
          <w:rFonts w:ascii="Segoe UI" w:hAnsi="Segoe UI" w:cs="Segoe UI"/>
          <w:color w:val="352F3D"/>
          <w:sz w:val="21"/>
          <w:szCs w:val="21"/>
        </w:rPr>
        <w:t>stop</w:t>
      </w:r>
      <w:r>
        <w:rPr>
          <w:rFonts w:ascii="Segoe UI" w:hAnsi="Segoe UI" w:cs="Segoe UI"/>
          <w:color w:val="352F3D"/>
          <w:sz w:val="21"/>
          <w:szCs w:val="21"/>
        </w:rPr>
        <w:t>-</w:t>
      </w:r>
      <w:r>
        <w:rPr>
          <w:rFonts w:ascii="Segoe UI" w:hAnsi="Segoe UI" w:cs="Segoe UI"/>
          <w:color w:val="352F3D"/>
          <w:sz w:val="21"/>
          <w:szCs w:val="21"/>
        </w:rPr>
        <w:t>gap</w:t>
      </w:r>
      <w:proofErr w:type="gramEnd"/>
      <w:r>
        <w:rPr>
          <w:rFonts w:ascii="Segoe UI" w:hAnsi="Segoe UI" w:cs="Segoe UI"/>
          <w:color w:val="352F3D"/>
          <w:sz w:val="21"/>
          <w:szCs w:val="21"/>
        </w:rPr>
        <w:t>.</w:t>
      </w:r>
    </w:p>
    <w:p w14:paraId="63366728" w14:textId="77777777" w:rsidR="00D1168C" w:rsidRDefault="00D1168C" w:rsidP="00D1168C">
      <w:pPr>
        <w:pStyle w:val="Heading2"/>
        <w:spacing w:before="360" w:after="240"/>
        <w:rPr>
          <w:rFonts w:ascii="Segoe UI" w:hAnsi="Segoe UI" w:cs="Segoe UI"/>
          <w:color w:val="352F3D"/>
          <w:sz w:val="36"/>
          <w:szCs w:val="36"/>
        </w:rPr>
      </w:pPr>
      <w:r>
        <w:rPr>
          <w:rFonts w:ascii="Segoe UI" w:hAnsi="Segoe UI" w:cs="Segoe UI"/>
          <w:color w:val="352F3D"/>
        </w:rPr>
        <w:t>Toward New Creation</w:t>
      </w:r>
    </w:p>
    <w:p w14:paraId="392054D4"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Bible's trajectory points toward the </w:t>
      </w:r>
      <w:r>
        <w:rPr>
          <w:rStyle w:val="Strong"/>
          <w:rFonts w:ascii="Segoe UI" w:hAnsi="Segoe UI" w:cs="Segoe UI"/>
          <w:color w:val="352F3D"/>
          <w:sz w:val="21"/>
          <w:szCs w:val="21"/>
        </w:rPr>
        <w:t>new creation</w:t>
      </w:r>
      <w:r>
        <w:rPr>
          <w:rFonts w:ascii="Segoe UI" w:hAnsi="Segoe UI" w:cs="Segoe UI"/>
          <w:color w:val="352F3D"/>
          <w:sz w:val="21"/>
          <w:szCs w:val="21"/>
        </w:rPr>
        <w:t>, where redeemed humanity shares in Christ's reign (Revelation 22:5) and communion with God is restored.</w:t>
      </w:r>
    </w:p>
    <w:p w14:paraId="2863270D"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Present structures of authority function as safeguards and signs within a fallen world. They point toward God's goal: a restored family of sons and daughters living in ordered love under Christ.</w:t>
      </w:r>
    </w:p>
    <w:p w14:paraId="7EDDF5FC"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church is called a household (1 Timothy 3:15), a family, a body, a bride. Not a corporation. Not a competitive platform. In a family, authority exists, love governs it, sacrifice defines it, and flourishing is shared.</w:t>
      </w:r>
    </w:p>
    <w:p w14:paraId="2432C3B4" w14:textId="77777777" w:rsidR="00D1168C" w:rsidRDefault="00D1168C" w:rsidP="00D1168C">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Order of this kind is not about control. It is about communion.</w:t>
      </w:r>
    </w:p>
    <w:p w14:paraId="3E16497F" w14:textId="77777777" w:rsidR="00D1168C" w:rsidRDefault="00D1168C" w:rsidP="004C1AE7">
      <w:pPr>
        <w:pStyle w:val="NormalWeb"/>
        <w:spacing w:before="0" w:beforeAutospacing="0" w:after="0" w:afterAutospacing="0"/>
        <w:rPr>
          <w:rFonts w:ascii="Calibri" w:hAnsi="Calibri" w:cs="Calibri"/>
          <w:sz w:val="22"/>
          <w:szCs w:val="22"/>
        </w:rPr>
      </w:pPr>
    </w:p>
    <w:p w14:paraId="13A3C002" w14:textId="77777777" w:rsidR="004C1AE7" w:rsidRDefault="004C1AE7"/>
    <w:p w14:paraId="1C25A262" w14:textId="39323DF5" w:rsidR="00D1168C" w:rsidRDefault="00D1168C" w:rsidP="00566507"/>
    <w:sectPr w:rsidR="00D1168C">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283ED9" w14:textId="77777777" w:rsidR="000305F8" w:rsidRDefault="000305F8" w:rsidP="004C1AE7">
      <w:pPr>
        <w:spacing w:after="0" w:line="240" w:lineRule="auto"/>
      </w:pPr>
      <w:r>
        <w:separator/>
      </w:r>
    </w:p>
  </w:endnote>
  <w:endnote w:type="continuationSeparator" w:id="0">
    <w:p w14:paraId="0C3762BC" w14:textId="77777777" w:rsidR="000305F8" w:rsidRDefault="000305F8" w:rsidP="004C1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8314174"/>
      <w:docPartObj>
        <w:docPartGallery w:val="Page Numbers (Bottom of Page)"/>
        <w:docPartUnique/>
      </w:docPartObj>
    </w:sdtPr>
    <w:sdtContent>
      <w:p w14:paraId="0A7FC4BE" w14:textId="61D0351F" w:rsidR="004C1AE7" w:rsidRDefault="004C1AE7"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63ACED" w14:textId="77777777" w:rsidR="004C1AE7" w:rsidRDefault="004C1AE7" w:rsidP="004C1A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4216741"/>
      <w:docPartObj>
        <w:docPartGallery w:val="Page Numbers (Bottom of Page)"/>
        <w:docPartUnique/>
      </w:docPartObj>
    </w:sdtPr>
    <w:sdtContent>
      <w:p w14:paraId="2DBD2CAD" w14:textId="79B4407F" w:rsidR="004C1AE7" w:rsidRDefault="004C1AE7"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30EA62" w14:textId="15FFCFC9" w:rsidR="004C1AE7" w:rsidRDefault="004C1AE7" w:rsidP="004C1AE7">
    <w:pPr>
      <w:pStyle w:val="Footer"/>
      <w:ind w:right="360"/>
    </w:pPr>
    <w:r>
      <w:t>WWJD</w:t>
    </w:r>
    <w:r>
      <w:ptab w:relativeTo="margin" w:alignment="center" w:leader="none"/>
    </w:r>
    <w:r>
      <w:t>https://tinyurl.com/TeachTheWord</w:t>
    </w:r>
    <w:r>
      <w:ptab w:relativeTo="margin" w:alignment="right" w:leader="none"/>
    </w:r>
    <w:sdt>
      <w:sdtPr>
        <w:id w:val="969400753"/>
        <w:placeholder>
          <w:docPart w:val="40C87F0E9B2AC34582F701CAAD0B32A9"/>
        </w:placeholder>
        <w:temporary/>
        <w:showingPlcHdr/>
        <w15:appearance w15:val="hidden"/>
      </w:sdt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06F431" w14:textId="77777777" w:rsidR="000305F8" w:rsidRDefault="000305F8" w:rsidP="004C1AE7">
      <w:pPr>
        <w:spacing w:after="0" w:line="240" w:lineRule="auto"/>
      </w:pPr>
      <w:r>
        <w:separator/>
      </w:r>
    </w:p>
  </w:footnote>
  <w:footnote w:type="continuationSeparator" w:id="0">
    <w:p w14:paraId="2F162060" w14:textId="77777777" w:rsidR="000305F8" w:rsidRDefault="000305F8" w:rsidP="004C1AE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E7"/>
    <w:rsid w:val="000305F8"/>
    <w:rsid w:val="002C2ACF"/>
    <w:rsid w:val="0030299D"/>
    <w:rsid w:val="004C1AE7"/>
    <w:rsid w:val="00566507"/>
    <w:rsid w:val="00D1168C"/>
    <w:rsid w:val="00EC7E4D"/>
    <w:rsid w:val="00F70CA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E02CF"/>
  <w15:chartTrackingRefBased/>
  <w15:docId w15:val="{DA27395C-E118-A449-BCB5-E7D48CC9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AE7"/>
    <w:rPr>
      <w:rFonts w:eastAsiaTheme="majorEastAsia" w:cstheme="majorBidi"/>
      <w:color w:val="272727" w:themeColor="text1" w:themeTint="D8"/>
    </w:rPr>
  </w:style>
  <w:style w:type="paragraph" w:styleId="Title">
    <w:name w:val="Title"/>
    <w:basedOn w:val="Normal"/>
    <w:next w:val="Normal"/>
    <w:link w:val="TitleChar"/>
    <w:uiPriority w:val="10"/>
    <w:qFormat/>
    <w:rsid w:val="004C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AE7"/>
    <w:pPr>
      <w:spacing w:before="160"/>
      <w:jc w:val="center"/>
    </w:pPr>
    <w:rPr>
      <w:i/>
      <w:iCs/>
      <w:color w:val="404040" w:themeColor="text1" w:themeTint="BF"/>
    </w:rPr>
  </w:style>
  <w:style w:type="character" w:customStyle="1" w:styleId="QuoteChar">
    <w:name w:val="Quote Char"/>
    <w:basedOn w:val="DefaultParagraphFont"/>
    <w:link w:val="Quote"/>
    <w:uiPriority w:val="29"/>
    <w:rsid w:val="004C1AE7"/>
    <w:rPr>
      <w:i/>
      <w:iCs/>
      <w:color w:val="404040" w:themeColor="text1" w:themeTint="BF"/>
    </w:rPr>
  </w:style>
  <w:style w:type="paragraph" w:styleId="ListParagraph">
    <w:name w:val="List Paragraph"/>
    <w:basedOn w:val="Normal"/>
    <w:uiPriority w:val="34"/>
    <w:qFormat/>
    <w:rsid w:val="004C1AE7"/>
    <w:pPr>
      <w:ind w:left="720"/>
      <w:contextualSpacing/>
    </w:pPr>
  </w:style>
  <w:style w:type="character" w:styleId="IntenseEmphasis">
    <w:name w:val="Intense Emphasis"/>
    <w:basedOn w:val="DefaultParagraphFont"/>
    <w:uiPriority w:val="21"/>
    <w:qFormat/>
    <w:rsid w:val="004C1AE7"/>
    <w:rPr>
      <w:i/>
      <w:iCs/>
      <w:color w:val="0F4761" w:themeColor="accent1" w:themeShade="BF"/>
    </w:rPr>
  </w:style>
  <w:style w:type="paragraph" w:styleId="IntenseQuote">
    <w:name w:val="Intense Quote"/>
    <w:basedOn w:val="Normal"/>
    <w:next w:val="Normal"/>
    <w:link w:val="IntenseQuoteChar"/>
    <w:uiPriority w:val="30"/>
    <w:qFormat/>
    <w:rsid w:val="004C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AE7"/>
    <w:rPr>
      <w:i/>
      <w:iCs/>
      <w:color w:val="0F4761" w:themeColor="accent1" w:themeShade="BF"/>
    </w:rPr>
  </w:style>
  <w:style w:type="character" w:styleId="IntenseReference">
    <w:name w:val="Intense Reference"/>
    <w:basedOn w:val="DefaultParagraphFont"/>
    <w:uiPriority w:val="32"/>
    <w:qFormat/>
    <w:rsid w:val="004C1AE7"/>
    <w:rPr>
      <w:b/>
      <w:bCs/>
      <w:smallCaps/>
      <w:color w:val="0F4761" w:themeColor="accent1" w:themeShade="BF"/>
      <w:spacing w:val="5"/>
    </w:rPr>
  </w:style>
  <w:style w:type="paragraph" w:styleId="NormalWeb">
    <w:name w:val="Normal (Web)"/>
    <w:basedOn w:val="Normal"/>
    <w:uiPriority w:val="99"/>
    <w:semiHidden/>
    <w:unhideWhenUsed/>
    <w:rsid w:val="004C1A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C1A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AE7"/>
  </w:style>
  <w:style w:type="paragraph" w:styleId="Footer">
    <w:name w:val="footer"/>
    <w:basedOn w:val="Normal"/>
    <w:link w:val="FooterChar"/>
    <w:uiPriority w:val="99"/>
    <w:unhideWhenUsed/>
    <w:rsid w:val="004C1A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AE7"/>
  </w:style>
  <w:style w:type="character" w:styleId="PageNumber">
    <w:name w:val="page number"/>
    <w:basedOn w:val="DefaultParagraphFont"/>
    <w:uiPriority w:val="99"/>
    <w:semiHidden/>
    <w:unhideWhenUsed/>
    <w:rsid w:val="004C1AE7"/>
  </w:style>
  <w:style w:type="paragraph" w:customStyle="1" w:styleId="code-line">
    <w:name w:val="code-line"/>
    <w:basedOn w:val="Normal"/>
    <w:rsid w:val="00D116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168C"/>
    <w:rPr>
      <w:b/>
      <w:bCs/>
    </w:rPr>
  </w:style>
  <w:style w:type="character" w:styleId="Emphasis">
    <w:name w:val="Emphasis"/>
    <w:basedOn w:val="DefaultParagraphFont"/>
    <w:uiPriority w:val="20"/>
    <w:qFormat/>
    <w:rsid w:val="00D116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0C87F0E9B2AC34582F701CAAD0B32A9"/>
        <w:category>
          <w:name w:val="General"/>
          <w:gallery w:val="placeholder"/>
        </w:category>
        <w:types>
          <w:type w:val="bbPlcHdr"/>
        </w:types>
        <w:behaviors>
          <w:behavior w:val="content"/>
        </w:behaviors>
        <w:guid w:val="{4F48EF13-9623-5143-BEF5-E08A2461910F}"/>
      </w:docPartPr>
      <w:docPartBody>
        <w:p w:rsidR="00522511" w:rsidRDefault="00BF6A12" w:rsidP="00BF6A12">
          <w:pPr>
            <w:pStyle w:val="40C87F0E9B2AC34582F701CAAD0B32A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12"/>
    <w:rsid w:val="00086B4A"/>
    <w:rsid w:val="0030299D"/>
    <w:rsid w:val="00522511"/>
    <w:rsid w:val="00A70393"/>
    <w:rsid w:val="00BF6A12"/>
    <w:rsid w:val="00F70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C87F0E9B2AC34582F701CAAD0B32A9">
    <w:name w:val="40C87F0E9B2AC34582F701CAAD0B32A9"/>
    <w:rsid w:val="00BF6A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969</Words>
  <Characters>5198</Characters>
  <Application>Microsoft Office Word</Application>
  <DocSecurity>0</DocSecurity>
  <Lines>88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2026-08-13T23:03:00Z</dcterms:created>
  <dcterms:modified xsi:type="dcterms:W3CDTF">2026-08-13T23:03:00Z</dcterms:modified>
</cp:coreProperties>
</file>