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6737C85F" w:rsidR="00AB2CC5" w:rsidRPr="00596A8F" w:rsidRDefault="00AB2CC5" w:rsidP="00596A8F">
      <w:pPr>
        <w:jc w:val="center"/>
      </w:pPr>
      <w:r>
        <w:t>https://tinyurl.com/</w:t>
      </w:r>
      <w:r w:rsidR="00A94C8F">
        <w:t>TeachTheWord</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E72701" w:rsidP="00A94C8F">
      <w:pPr>
        <w:rPr>
          <w:rFonts w:ascii="Segoe UI" w:hAnsi="Segoe UI" w:cs="Segoe UI"/>
          <w:sz w:val="21"/>
          <w:szCs w:val="21"/>
        </w:rPr>
      </w:pPr>
      <w:r>
        <w:rPr>
          <w:noProof/>
        </w:rPr>
      </w:r>
      <w:r>
        <w:pict w14:anchorId="794600BA">
          <v:rect id="Rectangle 51" o:spid="_x0000_s20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E72701" w:rsidP="00A94C8F">
      <w:pPr>
        <w:rPr>
          <w:rFonts w:ascii="Segoe UI" w:hAnsi="Segoe UI" w:cs="Segoe UI"/>
          <w:sz w:val="21"/>
          <w:szCs w:val="21"/>
        </w:rPr>
      </w:pPr>
      <w:r>
        <w:rPr>
          <w:noProof/>
        </w:rPr>
      </w:r>
      <w:r>
        <w:pict w14:anchorId="7C27B928">
          <v:rect id="Rectangle 49" o:spid="_x0000_s20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Anyone writing on this passage </w:t>
      </w:r>
      <w:r>
        <w:rPr>
          <w:rFonts w:ascii="Segoe UI" w:hAnsi="Segoe UI" w:cs="Segoe UI"/>
          <w:color w:val="352F3D"/>
          <w:sz w:val="21"/>
          <w:szCs w:val="21"/>
        </w:rPr>
        <w:t>must</w:t>
      </w:r>
      <w:r>
        <w:rPr>
          <w:rFonts w:ascii="Segoe UI" w:hAnsi="Segoe UI" w:cs="Segoe UI"/>
          <w:color w:val="352F3D"/>
          <w:sz w:val="21"/>
          <w:szCs w:val="21"/>
        </w:rPr>
        <w:t xml:space="preserve"> choose between two positions, and much confusion comes from writers who never make the choice explicit.</w:t>
      </w:r>
    </w:p>
    <w:p w14:paraId="714E2A57" w14:textId="79D3D49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w:t>
      </w:r>
      <w:r>
        <w:rPr>
          <w:rFonts w:ascii="Segoe UI" w:hAnsi="Segoe UI" w:cs="Segoe UI"/>
          <w:color w:val="352F3D"/>
          <w:sz w:val="21"/>
          <w:szCs w:val="21"/>
        </w:rPr>
        <w:t xml:space="preserve"> This position has held as normative church practice for two millennia.</w:t>
      </w:r>
    </w:p>
    <w:p w14:paraId="5EBB3939" w14:textId="493D8CFC"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Scripture restricts one function: the authoritative doctrinal teaching that governs the gathered church, along with the elder or overseer office attached to it. Other forms of participation</w:t>
      </w:r>
      <w:r>
        <w:rPr>
          <w:rFonts w:ascii="Segoe UI" w:hAnsi="Segoe UI" w:cs="Segoe UI"/>
          <w:color w:val="352F3D"/>
          <w:sz w:val="21"/>
          <w:szCs w:val="21"/>
        </w:rPr>
        <w:t xml:space="preserve"> (</w:t>
      </w:r>
      <w:r>
        <w:rPr>
          <w:rFonts w:ascii="Segoe UI" w:hAnsi="Segoe UI" w:cs="Segoe UI"/>
          <w:color w:val="352F3D"/>
          <w:sz w:val="21"/>
          <w:szCs w:val="21"/>
        </w:rPr>
        <w:t>praying, prophesying, singing, confessing, teaching women and children, private instruction, diaconal service</w:t>
      </w:r>
      <w:r>
        <w:rPr>
          <w:rFonts w:ascii="Segoe UI" w:hAnsi="Segoe UI" w:cs="Segoe UI"/>
          <w:color w:val="352F3D"/>
          <w:sz w:val="21"/>
          <w:szCs w:val="21"/>
        </w:rPr>
        <w:t xml:space="preserve">) </w:t>
      </w:r>
      <w:r>
        <w:rPr>
          <w:rFonts w:ascii="Segoe UI" w:hAnsi="Segoe UI" w:cs="Segoe UI"/>
          <w:color w:val="352F3D"/>
          <w:sz w:val="21"/>
          <w:szCs w:val="21"/>
        </w:rPr>
        <w:t>are not restricted.</w:t>
      </w:r>
    </w:p>
    <w:p w14:paraId="4F8F360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Third, Acts 18:26.</w:t>
      </w:r>
      <w:r>
        <w:rPr>
          <w:rFonts w:ascii="Segoe UI" w:hAnsi="Segoe UI" w:cs="Segoe UI"/>
          <w:color w:val="352F3D"/>
          <w:sz w:val="21"/>
          <w:szCs w:val="21"/>
        </w:rPr>
        <w:t> Priscilla and Aquila took Apollos aside and explained the way of God more accurately. Luke reports this without censure. The broad position must explain it away. The narrow position permits it directly.</w:t>
      </w:r>
    </w:p>
    <w:p w14:paraId="3E17819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 teaching function, not speech in general.</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55AD14C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xml:space="preserve"> The New Testament contains no explicit prohibition on a woman baptizing. The early church did prohibit it </w:t>
      </w:r>
      <w:r w:rsidR="00852949">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(c. 230–250) calls it "a transgression of the commandment." That is weighty testimony about apostolic practice. It is not apostolic command, and this study will not present it as one.</w:t>
      </w:r>
    </w:p>
    <w:p w14:paraId="463917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p>
    <w:p w14:paraId="5AE409C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p>
    <w:tbl>
      <w:tblPr>
        <w:tblW w:w="0" w:type="auto"/>
        <w:tblCellMar>
          <w:top w:w="15" w:type="dxa"/>
          <w:left w:w="15" w:type="dxa"/>
          <w:bottom w:w="15" w:type="dxa"/>
          <w:right w:w="15" w:type="dxa"/>
        </w:tblCellMar>
        <w:tblLook w:val="04A0" w:firstRow="1" w:lastRow="0" w:firstColumn="1" w:lastColumn="0" w:noHBand="0" w:noVBand="1"/>
      </w:tblPr>
      <w:tblGrid>
        <w:gridCol w:w="4176"/>
        <w:gridCol w:w="3460"/>
        <w:gridCol w:w="1724"/>
      </w:tblGrid>
      <w:tr w:rsidR="00A94C8F" w14:paraId="18FE4CFD" w14:textId="77777777">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tc>
          <w:tcPr>
            <w:tcW w:w="0" w:type="auto"/>
            <w:tcMar>
              <w:top w:w="75" w:type="dxa"/>
              <w:left w:w="150" w:type="dxa"/>
              <w:bottom w:w="75" w:type="dxa"/>
              <w:right w:w="150" w:type="dxa"/>
            </w:tcMar>
            <w:vAlign w:val="center"/>
            <w:hideMark/>
          </w:tcPr>
          <w:p w14:paraId="6EDC3FF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 office restricted to men</w:t>
            </w:r>
          </w:p>
        </w:tc>
        <w:tc>
          <w:tcPr>
            <w:tcW w:w="0" w:type="auto"/>
            <w:tcMar>
              <w:top w:w="75" w:type="dxa"/>
              <w:left w:w="150" w:type="dxa"/>
              <w:bottom w:w="75" w:type="dxa"/>
              <w:right w:w="150" w:type="dxa"/>
            </w:tcMar>
            <w:vAlign w:val="center"/>
            <w:hideMark/>
          </w:tcPr>
          <w:p w14:paraId="128F514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3:2; 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bl>
    <w:p w14:paraId="72C1ACE1" w14:textId="77777777" w:rsidR="00A94C8F" w:rsidRDefault="00E72701" w:rsidP="00A94C8F">
      <w:pPr>
        <w:spacing w:after="0"/>
        <w:rPr>
          <w:rFonts w:ascii="Segoe UI" w:hAnsi="Segoe UI" w:cs="Segoe UI"/>
          <w:sz w:val="21"/>
          <w:szCs w:val="21"/>
        </w:rPr>
      </w:pPr>
      <w:r>
        <w:rPr>
          <w:noProof/>
        </w:rPr>
      </w:r>
      <w:r>
        <w:pict w14:anchorId="303A3176">
          <v:rect id="Rectangle 47" o:spid="_x0000_s20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07D2000"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lastRenderedPageBreak/>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p>
    <w:p w14:paraId="349589A6" w14:textId="77777777" w:rsidR="00A94C8F" w:rsidRDefault="00E72701" w:rsidP="00A94C8F">
      <w:pPr>
        <w:rPr>
          <w:rFonts w:ascii="Segoe UI" w:hAnsi="Segoe UI" w:cs="Segoe UI"/>
          <w:sz w:val="21"/>
          <w:szCs w:val="21"/>
        </w:rPr>
      </w:pPr>
      <w:r>
        <w:rPr>
          <w:noProof/>
        </w:rPr>
      </w:r>
      <w:r>
        <w:pict w14:anchorId="0F94062A">
          <v:rect id="Rectangle 45" o:spid="_x0000_s20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698168DF"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Let a woman learn, with a quiet demeanor and full receptiveness to the teaching. But I am not currently permitting a woman to teach in a domineering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E72701" w:rsidP="00A94C8F">
      <w:pPr>
        <w:rPr>
          <w:rFonts w:ascii="Segoe UI" w:hAnsi="Segoe UI" w:cs="Segoe UI"/>
          <w:sz w:val="21"/>
          <w:szCs w:val="21"/>
        </w:rPr>
      </w:pPr>
      <w:r>
        <w:rPr>
          <w:noProof/>
        </w:rPr>
      </w:r>
      <w:r>
        <w:pict w14:anchorId="03ECD43C">
          <v:rect id="Rectangle 43" o:spid="_x0000_s20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77777777"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 respectable presentation. Not merely covering skin, but presentation that does not pull focus to status, sexuality, or wealth.</w:t>
      </w:r>
    </w:p>
    <w:p w14:paraId="0A5450DE" w14:textId="77777777"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 a sense of propriety, moral awareness of what fits.</w:t>
      </w:r>
    </w:p>
    <w:p w14:paraId="5FAF0CEC" w14:textId="77777777"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1 Timothy specifically, "good works" recurs as a public marker of genuine faith (5:10; 6:18). So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046159BC"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occurs once in the New Testament. In broader 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0EAA8A8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Option A — the Messiah's birth.</w:t>
      </w:r>
      <w:r>
        <w:rPr>
          <w:rFonts w:ascii="Segoe UI" w:hAnsi="Segoe UI" w:cs="Segoe UI"/>
          <w:color w:val="352F3D"/>
          <w:sz w:val="21"/>
          <w:szCs w:val="21"/>
        </w:rPr>
        <w:t> "She will be saved through </w:t>
      </w:r>
      <w:r>
        <w:rPr>
          <w:rStyle w:val="Emphasis"/>
          <w:rFonts w:ascii="Segoe UI" w:hAnsi="Segoe UI" w:cs="Segoe UI"/>
          <w:color w:val="352F3D"/>
          <w:sz w:val="21"/>
          <w:szCs w:val="21"/>
        </w:rPr>
        <w:t>the</w:t>
      </w:r>
      <w:r>
        <w:rPr>
          <w:rFonts w:ascii="Segoe UI" w:hAnsi="Segoe UI" w:cs="Segoe UI"/>
          <w:color w:val="352F3D"/>
          <w:sz w:val="21"/>
          <w:szCs w:val="21"/>
        </w:rPr>
        <w:t> childbearing," pointing to the promised seed (Genesis 3:15). Fits biblical theology; the grammar is debated and "childbearing" is a general term.</w:t>
      </w:r>
    </w:p>
    <w:p w14:paraId="3F9019D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B — preservation through the dangers of childbirth.</w:t>
      </w:r>
      <w:r>
        <w:rPr>
          <w:rFonts w:ascii="Segoe UI" w:hAnsi="Segoe UI" w:cs="Segoe UI"/>
          <w:color w:val="352F3D"/>
          <w:sz w:val="21"/>
          <w:szCs w:val="21"/>
        </w:rPr>
        <w:t> Ancient childbirth was dangerous. Weakness: the condition "if they continue in faith" sounds moral and spiritual rather than medical.</w:t>
      </w:r>
    </w:p>
    <w:p w14:paraId="163CB9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C — salvation worked out in the embraced calling.</w:t>
      </w:r>
      <w:r>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 it re-centers on persevering godliness. Paul does not end with "women, stay down." He ends with "women, continue in mature holiness."</w:t>
      </w:r>
    </w:p>
    <w:p w14:paraId="59321AB1" w14:textId="77777777" w:rsidR="00A94C8F" w:rsidRDefault="00E72701" w:rsidP="00A94C8F">
      <w:pPr>
        <w:rPr>
          <w:rFonts w:ascii="Segoe UI" w:hAnsi="Segoe UI" w:cs="Segoe UI"/>
          <w:sz w:val="21"/>
          <w:szCs w:val="21"/>
        </w:rPr>
      </w:pPr>
      <w:r>
        <w:rPr>
          <w:noProof/>
        </w:rPr>
      </w:r>
      <w:r>
        <w:pict w14:anchorId="748CF35B">
          <v:rect id="Rectangle 41" o:spid="_x0000_s20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6A58188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xml:space="preserve"> teaching by women </w:t>
      </w:r>
      <w:r w:rsidR="00202124">
        <w:rPr>
          <w:rFonts w:ascii="Segoe UI" w:hAnsi="Segoe UI" w:cs="Segoe UI"/>
          <w:color w:val="352F3D"/>
          <w:sz w:val="21"/>
          <w:szCs w:val="21"/>
        </w:rPr>
        <w:t>-</w:t>
      </w:r>
      <w:r>
        <w:rPr>
          <w:rFonts w:ascii="Segoe UI" w:hAnsi="Segoe UI" w:cs="Segoe UI"/>
          <w:color w:val="352F3D"/>
          <w:sz w:val="21"/>
          <w:szCs w:val="21"/>
        </w:rPr>
        <w:t xml:space="preserve"> 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things, and they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3D092FD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xml:space="preserve"> itself spans neutral "to rule" and negative "to tyrannize," so the renderings do not settle the question </w:t>
      </w:r>
      <w:r w:rsidR="00202124">
        <w:rPr>
          <w:rFonts w:ascii="Segoe UI" w:hAnsi="Segoe UI" w:cs="Segoe UI"/>
          <w:color w:val="352F3D"/>
          <w:sz w:val="21"/>
          <w:szCs w:val="21"/>
        </w:rPr>
        <w:t xml:space="preserve">- </w:t>
      </w:r>
      <w:r>
        <w:rPr>
          <w:rFonts w:ascii="Segoe UI" w:hAnsi="Segoe UI" w:cs="Segoe UI"/>
          <w:color w:val="352F3D"/>
          <w:sz w:val="21"/>
          <w:szCs w:val="21"/>
        </w:rPr>
        <w:t>and in any case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 there was real disorder among some women in Ephesus (5:13–15). That context plausibly explains the letter's urgency and some adjacent applications. It does not supply Paul's stated reason in 2:13–14.</w:t>
      </w:r>
    </w:p>
    <w:p w14:paraId="6E6CB118" w14:textId="77777777" w:rsidR="00A94C8F" w:rsidRDefault="00E72701" w:rsidP="00A94C8F">
      <w:pPr>
        <w:rPr>
          <w:rFonts w:ascii="Segoe UI" w:hAnsi="Segoe UI" w:cs="Segoe UI"/>
          <w:sz w:val="21"/>
          <w:szCs w:val="21"/>
        </w:rPr>
      </w:pPr>
      <w:r>
        <w:rPr>
          <w:noProof/>
        </w:rPr>
      </w:r>
      <w:r>
        <w:pict w14:anchorId="00D10578">
          <v:rect id="Rectangle 39" o:spid="_x0000_s20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6.3 Structure and Placement</w:t>
      </w:r>
    </w:p>
    <w:p w14:paraId="66FD7F5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351"/>
        <w:gridCol w:w="3036"/>
        <w:gridCol w:w="2213"/>
        <w:gridCol w:w="2760"/>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E72701" w:rsidP="00A94C8F">
      <w:pPr>
        <w:rPr>
          <w:rFonts w:ascii="Segoe UI" w:hAnsi="Segoe UI" w:cs="Segoe UI"/>
          <w:sz w:val="21"/>
          <w:szCs w:val="21"/>
        </w:rPr>
      </w:pPr>
      <w:r>
        <w:rPr>
          <w:noProof/>
        </w:rPr>
      </w:r>
      <w:r>
        <w:pict w14:anchorId="53EAA306">
          <v:rect id="Rectangle 37" o:spid="_x0000_s20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of the church at Cenchrea (Romans 16:1)</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E72701" w:rsidP="00A94C8F">
      <w:pPr>
        <w:rPr>
          <w:rFonts w:ascii="Segoe UI" w:hAnsi="Segoe UI" w:cs="Segoe UI"/>
          <w:sz w:val="21"/>
          <w:szCs w:val="21"/>
        </w:rPr>
      </w:pPr>
      <w:r>
        <w:rPr>
          <w:noProof/>
        </w:rPr>
      </w:r>
      <w:r>
        <w:pict w14:anchorId="002EE781">
          <v:rect id="Rectangle 35" o:spid="_x0000_s20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lastRenderedPageBreak/>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6B4A5E5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delivered by appointment, handed down, received. Or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produced by gifting, sincerity, demonstrated results, or cultural progress.</w:t>
      </w:r>
    </w:p>
    <w:p w14:paraId="3B6DAF0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Every historic argument against the reading advanced here takes the second answer, though the vocabulary changes by era: direct revelation among the Montanists and later the Quakers; demonstrated fruit in nineteenth-century revivalism; reconstructed background or redemptive trajectory in modern scholarship.</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6897529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202124">
        <w:rPr>
          <w:rFonts w:ascii="Segoe UI" w:hAnsi="Segoe UI" w:cs="Segoe UI"/>
          <w:color w:val="352F3D"/>
          <w:sz w:val="21"/>
          <w:szCs w:val="21"/>
        </w:rPr>
        <w:t>-</w:t>
      </w:r>
      <w:r>
        <w:rPr>
          <w:rFonts w:ascii="Segoe UI" w:hAnsi="Segoe UI" w:cs="Segoe UI"/>
          <w:color w:val="352F3D"/>
          <w:sz w:val="21"/>
          <w:szCs w:val="21"/>
        </w:rPr>
        <w:t xml:space="preserve"> prophetic gifting and spiritual maturity </w:t>
      </w:r>
      <w:r w:rsidR="00202124">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66E3C3E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own standing rests on appointment rather than attainment: "</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common argument holds that Scripture regulated slavery without condemning it, that the church eventually moved past slavery, and that gender follows the same arc.</w:t>
      </w:r>
    </w:p>
    <w:p w14:paraId="1BFBAA8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premise is fair,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p>
    <w:p w14:paraId="20CA52B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p>
    <w:p w14:paraId="0CD4F8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Twice, in two letters, Paul grounds the assembly instruction in the created order (1 Timothy 2:13; 1 Corinthians 11:8–9). The feature that made slavery movable is precisely the feature this instruction has that slavery lacked.</w:t>
      </w:r>
    </w:p>
    <w:p w14:paraId="613ADB95" w14:textId="77777777" w:rsidR="00A94C8F" w:rsidRDefault="00E72701" w:rsidP="00A94C8F">
      <w:pPr>
        <w:rPr>
          <w:rFonts w:ascii="Segoe UI" w:hAnsi="Segoe UI" w:cs="Segoe UI"/>
          <w:sz w:val="21"/>
          <w:szCs w:val="21"/>
        </w:rPr>
      </w:pPr>
      <w:r>
        <w:rPr>
          <w:noProof/>
        </w:rPr>
      </w:r>
      <w:r>
        <w:pict w14:anchorId="21E590F9">
          <v:rect id="Rectangle 33" o:spid="_x0000_s20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50636FD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202124">
        <w:rPr>
          <w:rFonts w:ascii="Segoe UI" w:hAnsi="Segoe UI" w:cs="Segoe UI"/>
          <w:color w:val="352F3D"/>
          <w:sz w:val="21"/>
          <w:szCs w:val="21"/>
        </w:rPr>
        <w:t>-</w:t>
      </w:r>
      <w:r>
        <w:rPr>
          <w:rFonts w:ascii="Segoe UI" w:hAnsi="Segoe UI" w:cs="Segoe UI"/>
          <w:color w:val="352F3D"/>
          <w:sz w:val="21"/>
          <w:szCs w:val="21"/>
        </w:rPr>
        <w:t xml:space="preserve"> they anoint women at baptism and instruct them afterward, though a man pronounces the invocation over the water.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58DA226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B403DA">
        <w:rPr>
          <w:rFonts w:ascii="Segoe UI" w:hAnsi="Segoe UI" w:cs="Segoe UI"/>
          <w:color w:val="352F3D"/>
          <w:sz w:val="21"/>
          <w:szCs w:val="21"/>
        </w:rPr>
        <w:t>-</w:t>
      </w:r>
      <w:r>
        <w:rPr>
          <w:rFonts w:ascii="Segoe UI" w:hAnsi="Segoe UI" w:cs="Segoe UI"/>
          <w:color w:val="352F3D"/>
          <w:sz w:val="21"/>
          <w:szCs w:val="21"/>
        </w:rPr>
        <w:t xml:space="preserve"> Tertullian is arguing, which means North African congregations were permitting what he opposed.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E72701" w:rsidP="00A94C8F">
      <w:pPr>
        <w:rPr>
          <w:rFonts w:ascii="Segoe UI" w:hAnsi="Segoe UI" w:cs="Segoe UI"/>
          <w:sz w:val="21"/>
          <w:szCs w:val="21"/>
        </w:rPr>
      </w:pPr>
      <w:r>
        <w:rPr>
          <w:noProof/>
        </w:rPr>
      </w:r>
      <w:r>
        <w:pict w14:anchorId="16AD8250">
          <v:rect id="Rectangle 31" o:spid="_x0000_s20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42F96BCB"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B403DA">
        <w:rPr>
          <w:rFonts w:ascii="Segoe UI" w:hAnsi="Segoe UI" w:cs="Segoe UI"/>
          <w:color w:val="352F3D"/>
          <w:sz w:val="21"/>
          <w:szCs w:val="21"/>
        </w:rPr>
        <w:t>-</w:t>
      </w:r>
      <w:r>
        <w:rPr>
          <w:rFonts w:ascii="Segoe UI" w:hAnsi="Segoe UI" w:cs="Segoe UI"/>
          <w:color w:val="352F3D"/>
          <w:sz w:val="21"/>
          <w:szCs w:val="21"/>
        </w:rPr>
        <w:t xml:space="preserve"> a strong ally, not an assistant. God's design is ordered unity, shared dominion, relational harmony, and communion with Himself.</w:t>
      </w:r>
    </w:p>
    <w:p w14:paraId="2C76D82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 a creature steps outside an assigned place, autonomy replaces trust, order collapses, relationship fractures.</w:t>
      </w:r>
    </w:p>
    <w:p w14:paraId="664EB65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redemption</w:t>
      </w:r>
      <w:r>
        <w:rPr>
          <w:rFonts w:ascii="Segoe UI" w:hAnsi="Segoe UI" w:cs="Segoe UI"/>
          <w:color w:val="352F3D"/>
          <w:sz w:val="21"/>
          <w:szCs w:val="21"/>
        </w:rPr>
        <w:t>, God does not abolish order. He restores it. He does not flatten distinction; He heals it. Christ is the last Adam, the head of the church, the obedient Son who does not grasp autonomy (Philippians 2) but submits to the Father, and through ordered obedience restores communion.</w:t>
      </w:r>
    </w:p>
    <w:p w14:paraId="74B53F14" w14:textId="7388F03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B403DA">
        <w:rPr>
          <w:rFonts w:ascii="Segoe UI" w:hAnsi="Segoe UI" w:cs="Segoe UI"/>
          <w:color w:val="352F3D"/>
          <w:sz w:val="21"/>
          <w:szCs w:val="21"/>
        </w:rPr>
        <w:t>-</w:t>
      </w:r>
      <w:r>
        <w:rPr>
          <w:rFonts w:ascii="Segoe UI" w:hAnsi="Segoe UI" w:cs="Segoe UI"/>
          <w:color w:val="352F3D"/>
          <w:sz w:val="21"/>
          <w:szCs w:val="21"/>
        </w:rPr>
        <w:t xml:space="preserve"> not corporation, not competitive platform. In a family, authority exists, love governs it, sacrifice defines it, and flourishing is shared.</w:t>
      </w:r>
    </w:p>
    <w:p w14:paraId="6841D38E" w14:textId="74FE1545" w:rsidR="00A94C8F" w:rsidRDefault="00B403DA"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w:t>
      </w:r>
      <w:r w:rsidR="00A94C8F">
        <w:rPr>
          <w:rFonts w:ascii="Segoe UI" w:hAnsi="Segoe UI" w:cs="Segoe UI"/>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The end of Scripture is not hierarchy. It is family dwelling with God: "Look! The residence of God is among human beings"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deepest answer to "what does God want?" is restored sons and daughters, under Christ the faithful head, living in ordered love, reflecting the harmony of new creation.</w:t>
      </w:r>
    </w:p>
    <w:p w14:paraId="10FA0F99" w14:textId="77777777" w:rsidR="00A94C8F" w:rsidRDefault="00E72701" w:rsidP="00A94C8F">
      <w:pPr>
        <w:rPr>
          <w:rFonts w:ascii="Segoe UI" w:hAnsi="Segoe UI" w:cs="Segoe UI"/>
          <w:sz w:val="21"/>
          <w:szCs w:val="21"/>
        </w:rPr>
      </w:pPr>
      <w:r>
        <w:rPr>
          <w:noProof/>
        </w:rPr>
      </w:r>
      <w:r>
        <w:pict w14:anchorId="6161C86F">
          <v:rect id="Rectangle 29" o:spid="_x0000_s20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063EB806"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xml:space="preserve"> fails on two grounds </w:t>
      </w:r>
      <w:r w:rsidR="00B403DA">
        <w:rPr>
          <w:rFonts w:ascii="Segoe UI" w:hAnsi="Segoe UI" w:cs="Segoe UI"/>
          <w:color w:val="352F3D"/>
          <w:sz w:val="21"/>
          <w:szCs w:val="21"/>
        </w:rPr>
        <w:t>-</w:t>
      </w:r>
      <w:r>
        <w:rPr>
          <w:rFonts w:ascii="Segoe UI" w:hAnsi="Segoe UI" w:cs="Segoe UI"/>
          <w:color w:val="352F3D"/>
          <w:sz w:val="21"/>
          <w:szCs w:val="21"/>
        </w:rPr>
        <w:t xml:space="preserve"> 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749F15E3"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B403DA">
        <w:rPr>
          <w:rFonts w:ascii="Segoe UI" w:hAnsi="Segoe UI" w:cs="Segoe UI"/>
          <w:color w:val="352F3D"/>
          <w:sz w:val="21"/>
          <w:szCs w:val="21"/>
        </w:rPr>
        <w:t>-</w:t>
      </w:r>
      <w:r>
        <w:rPr>
          <w:rFonts w:ascii="Segoe UI" w:hAnsi="Segoe UI" w:cs="Segoe UI"/>
          <w:color w:val="352F3D"/>
          <w:sz w:val="21"/>
          <w:szCs w:val="21"/>
        </w:rPr>
        <w:t xml:space="preserve"> prophesying versus authoritative evaluation </w:t>
      </w:r>
      <w:r w:rsidR="00B403DA">
        <w:rPr>
          <w:rFonts w:ascii="Segoe UI" w:hAnsi="Segoe UI" w:cs="Segoe UI"/>
          <w:color w:val="352F3D"/>
          <w:sz w:val="21"/>
          <w:szCs w:val="21"/>
        </w:rPr>
        <w:t>-</w:t>
      </w:r>
      <w:r>
        <w:rPr>
          <w:rFonts w:ascii="Segoe UI" w:hAnsi="Segoe UI" w:cs="Segoe UI"/>
          <w:color w:val="352F3D"/>
          <w:sz w:val="21"/>
          <w:szCs w:val="21"/>
        </w:rPr>
        <w:t xml:space="preserve"> 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240A84F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E72701" w:rsidP="00A94C8F">
      <w:pPr>
        <w:rPr>
          <w:rFonts w:ascii="Segoe UI" w:hAnsi="Segoe UI" w:cs="Segoe UI"/>
          <w:sz w:val="21"/>
          <w:szCs w:val="21"/>
        </w:rPr>
      </w:pPr>
      <w:r>
        <w:rPr>
          <w:noProof/>
        </w:rPr>
      </w:r>
      <w:r>
        <w:pict w14:anchorId="290263B6">
          <v:rect id="Rectangle 27" o:spid="_x0000_s20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"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3rd ed., ed. Köstenberger and Thomas R. Schreiner (Crossway, 2016), 117–62. A. L. Bowman, "Women in Ministry: 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13AFA847" w:rsidR="00A94C8F" w:rsidRDefault="00A94C8F" w:rsidP="00A94C8F">
      <w:pPr>
        <w:pStyle w:val="code-line"/>
        <w:spacing w:before="0" w:beforeAutospacing="0" w:after="240" w:afterAutospacing="0"/>
        <w:rPr>
          <w:rFonts w:ascii="Segoe UI" w:hAnsi="Segoe UI" w:cs="Segoe UI"/>
          <w:color w:val="352F3D"/>
          <w:sz w:val="21"/>
          <w:szCs w:val="21"/>
        </w:rPr>
      </w:pPr>
      <w:r>
        <w:rPr>
          <w:rStyle w:val="Emphasis"/>
          <w:rFonts w:ascii="Segoe UI" w:hAnsi="Segoe UI" w:cs="Segoe UI"/>
          <w:color w:val="352F3D"/>
          <w:sz w:val="21"/>
          <w:szCs w:val="21"/>
        </w:rPr>
        <w:t>Portions of the passage-context analysis in Part Four were drafted with research automation assistance and subsequently verified against the primary sources listed above.</w:t>
      </w:r>
    </w:p>
    <w:sectPr w:rsidR="00A94C8F" w:rsidSect="000E1AC1">
      <w:footerReference w:type="default" r:id="rId16"/>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1F3629" w14:textId="77777777" w:rsidR="00E72701" w:rsidRDefault="00E72701" w:rsidP="00CC7355">
      <w:pPr>
        <w:spacing w:after="0" w:line="240" w:lineRule="auto"/>
      </w:pPr>
      <w:r>
        <w:separator/>
      </w:r>
    </w:p>
  </w:endnote>
  <w:endnote w:type="continuationSeparator" w:id="0">
    <w:p w14:paraId="13113F3D" w14:textId="77777777" w:rsidR="00E72701" w:rsidRDefault="00E72701"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FC6015" w14:textId="77777777" w:rsidR="00E72701" w:rsidRDefault="00E72701" w:rsidP="00CC7355">
      <w:pPr>
        <w:spacing w:after="0" w:line="240" w:lineRule="auto"/>
      </w:pPr>
      <w:r>
        <w:separator/>
      </w:r>
    </w:p>
  </w:footnote>
  <w:footnote w:type="continuationSeparator" w:id="0">
    <w:p w14:paraId="3050D36D" w14:textId="77777777" w:rsidR="00E72701" w:rsidRDefault="00E72701"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6B3"/>
    <w:rsid w:val="00006F75"/>
    <w:rsid w:val="00012E92"/>
    <w:rsid w:val="00041E48"/>
    <w:rsid w:val="000509BA"/>
    <w:rsid w:val="000615E6"/>
    <w:rsid w:val="00067038"/>
    <w:rsid w:val="000E1AC1"/>
    <w:rsid w:val="000E3ED2"/>
    <w:rsid w:val="000E7258"/>
    <w:rsid w:val="0012297B"/>
    <w:rsid w:val="00136753"/>
    <w:rsid w:val="00136E76"/>
    <w:rsid w:val="001A7A06"/>
    <w:rsid w:val="001C0A27"/>
    <w:rsid w:val="00202124"/>
    <w:rsid w:val="00204ECB"/>
    <w:rsid w:val="00261922"/>
    <w:rsid w:val="0029069A"/>
    <w:rsid w:val="002964E1"/>
    <w:rsid w:val="00321871"/>
    <w:rsid w:val="00325235"/>
    <w:rsid w:val="00346D6C"/>
    <w:rsid w:val="00372881"/>
    <w:rsid w:val="00445383"/>
    <w:rsid w:val="00477489"/>
    <w:rsid w:val="004903FD"/>
    <w:rsid w:val="00495A07"/>
    <w:rsid w:val="004C5DD3"/>
    <w:rsid w:val="00510A5E"/>
    <w:rsid w:val="00587724"/>
    <w:rsid w:val="00596A8F"/>
    <w:rsid w:val="005D562B"/>
    <w:rsid w:val="005E7A4F"/>
    <w:rsid w:val="006100FE"/>
    <w:rsid w:val="00611331"/>
    <w:rsid w:val="00623004"/>
    <w:rsid w:val="00635C6F"/>
    <w:rsid w:val="00636FE4"/>
    <w:rsid w:val="00642A63"/>
    <w:rsid w:val="00644255"/>
    <w:rsid w:val="006474A5"/>
    <w:rsid w:val="00675305"/>
    <w:rsid w:val="006928FD"/>
    <w:rsid w:val="006A1D53"/>
    <w:rsid w:val="006A3DA6"/>
    <w:rsid w:val="006A3F18"/>
    <w:rsid w:val="006B2541"/>
    <w:rsid w:val="006C2824"/>
    <w:rsid w:val="006C6184"/>
    <w:rsid w:val="006C6820"/>
    <w:rsid w:val="006D0BDD"/>
    <w:rsid w:val="006F4F22"/>
    <w:rsid w:val="00706889"/>
    <w:rsid w:val="00707F74"/>
    <w:rsid w:val="007204AC"/>
    <w:rsid w:val="00746DF5"/>
    <w:rsid w:val="007534F5"/>
    <w:rsid w:val="00770D3A"/>
    <w:rsid w:val="007B5654"/>
    <w:rsid w:val="007C0D47"/>
    <w:rsid w:val="007C4FA7"/>
    <w:rsid w:val="007F263E"/>
    <w:rsid w:val="007F395A"/>
    <w:rsid w:val="008265C9"/>
    <w:rsid w:val="00852949"/>
    <w:rsid w:val="008678FC"/>
    <w:rsid w:val="008B7976"/>
    <w:rsid w:val="008D1E6A"/>
    <w:rsid w:val="008E3705"/>
    <w:rsid w:val="00931DFF"/>
    <w:rsid w:val="00963B56"/>
    <w:rsid w:val="009756B9"/>
    <w:rsid w:val="00980A94"/>
    <w:rsid w:val="00980AA3"/>
    <w:rsid w:val="009A4455"/>
    <w:rsid w:val="009A64F8"/>
    <w:rsid w:val="009B4703"/>
    <w:rsid w:val="00A20367"/>
    <w:rsid w:val="00A31E82"/>
    <w:rsid w:val="00A41CD2"/>
    <w:rsid w:val="00A553DD"/>
    <w:rsid w:val="00A566C2"/>
    <w:rsid w:val="00A65202"/>
    <w:rsid w:val="00A876A6"/>
    <w:rsid w:val="00A94C8F"/>
    <w:rsid w:val="00AB2CC5"/>
    <w:rsid w:val="00AE267D"/>
    <w:rsid w:val="00AF5FCE"/>
    <w:rsid w:val="00B01A07"/>
    <w:rsid w:val="00B403DA"/>
    <w:rsid w:val="00B440E9"/>
    <w:rsid w:val="00B84D11"/>
    <w:rsid w:val="00B9026E"/>
    <w:rsid w:val="00B97F6A"/>
    <w:rsid w:val="00C00744"/>
    <w:rsid w:val="00C07B7B"/>
    <w:rsid w:val="00C46208"/>
    <w:rsid w:val="00C46992"/>
    <w:rsid w:val="00C56D96"/>
    <w:rsid w:val="00CA34AD"/>
    <w:rsid w:val="00CA6CB8"/>
    <w:rsid w:val="00CC0F49"/>
    <w:rsid w:val="00CC7355"/>
    <w:rsid w:val="00CD0CCE"/>
    <w:rsid w:val="00CD601F"/>
    <w:rsid w:val="00D4277D"/>
    <w:rsid w:val="00D55152"/>
    <w:rsid w:val="00D750C9"/>
    <w:rsid w:val="00E32088"/>
    <w:rsid w:val="00E64704"/>
    <w:rsid w:val="00E6585D"/>
    <w:rsid w:val="00E72701"/>
    <w:rsid w:val="00E84811"/>
    <w:rsid w:val="00EE1EAF"/>
    <w:rsid w:val="00EF3808"/>
    <w:rsid w:val="00F151AC"/>
    <w:rsid w:val="00F50D34"/>
    <w:rsid w:val="00F56DFE"/>
    <w:rsid w:val="00F67147"/>
    <w:rsid w:val="00F70CAD"/>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10" Type="http://schemas.openxmlformats.org/officeDocument/2006/relationships/hyperlink" Target="https://www.newadvent.org/fathers/0321.htm" TargetMode="Externa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12</Pages>
  <Words>5109</Words>
  <Characters>28867</Characters>
  <Application>Microsoft Office Word</Application>
  <DocSecurity>0</DocSecurity>
  <Lines>721</Lines>
  <Paragraphs>485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2026-04-26T12:42:00Z</cp:lastPrinted>
  <dcterms:created xsi:type="dcterms:W3CDTF">2026-08-13T23:22:00Z</dcterms:created>
  <dcterms:modified xsi:type="dcterms:W3CDTF">2026-08-13T23:44:00Z</dcterms:modified>
</cp:coreProperties>
</file>