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B6BBF" w14:textId="374A9F37" w:rsidR="005E7A4F" w:rsidRPr="001F682F" w:rsidRDefault="005E7A4F" w:rsidP="005E7A4F">
      <w:pPr>
        <w:pStyle w:val="Title"/>
        <w:rPr>
          <w:rFonts w:asciiTheme="minorHAnsi" w:hAnsiTheme="minorHAnsi"/>
        </w:rPr>
      </w:pPr>
      <w:r>
        <w:rPr>
          <w:rFonts w:asciiTheme="minorHAnsi" w:hAnsiTheme="minorHAnsi"/>
        </w:rPr>
        <w:t>Yet another analysis of 1 Timothy 2:</w:t>
      </w:r>
      <w:r w:rsidR="00596A8F">
        <w:rPr>
          <w:rFonts w:asciiTheme="minorHAnsi" w:hAnsiTheme="minorHAnsi"/>
        </w:rPr>
        <w:t>9</w:t>
      </w:r>
      <w:r>
        <w:rPr>
          <w:rFonts w:asciiTheme="minorHAnsi" w:hAnsiTheme="minorHAnsi"/>
        </w:rPr>
        <w:t>-15</w:t>
      </w:r>
    </w:p>
    <w:p w14:paraId="254145B8" w14:textId="77777777" w:rsidR="005E7A4F" w:rsidRPr="001F682F" w:rsidRDefault="005E7A4F" w:rsidP="005E7A4F"/>
    <w:p w14:paraId="541C7AAF" w14:textId="5D95A0F0" w:rsidR="005E7A4F" w:rsidRDefault="00A94C8F" w:rsidP="005E7A4F">
      <w:pPr>
        <w:pStyle w:val="Subtitle"/>
        <w:jc w:val="center"/>
      </w:pPr>
      <w:r>
        <w:t>January-August</w:t>
      </w:r>
      <w:r w:rsidR="00012E92">
        <w:t xml:space="preserve"> 2026</w:t>
      </w:r>
    </w:p>
    <w:p w14:paraId="427CA54C" w14:textId="6FBC99E9" w:rsidR="00596A8F" w:rsidRDefault="00495A07" w:rsidP="00A94C8F">
      <w:pPr>
        <w:jc w:val="center"/>
      </w:pPr>
      <w:r>
        <w:t>Phil Pennington</w:t>
      </w:r>
    </w:p>
    <w:p w14:paraId="22F9EF5F" w14:textId="50C5D9FB" w:rsidR="00AB2CC5" w:rsidRPr="00596A8F" w:rsidRDefault="00AB2CC5" w:rsidP="00596A8F">
      <w:pPr>
        <w:jc w:val="center"/>
      </w:pPr>
      <w:r>
        <w:t>http://</w:t>
      </w:r>
      <w:r w:rsidR="00A94C8F">
        <w:t>TeachTheWord</w:t>
      </w:r>
      <w:r w:rsidR="00A70106">
        <w:t>.Church</w:t>
      </w:r>
    </w:p>
    <w:p w14:paraId="081A23C1" w14:textId="77777777" w:rsidR="00A94C8F" w:rsidRDefault="00A94C8F" w:rsidP="00852949">
      <w:pPr>
        <w:pStyle w:val="code-line"/>
        <w:spacing w:before="0" w:beforeAutospacing="0" w:after="240" w:afterAutospacing="0"/>
        <w:jc w:val="center"/>
        <w:rPr>
          <w:rFonts w:ascii="Segoe UI" w:hAnsi="Segoe UI" w:cs="Segoe UI"/>
          <w:color w:val="352F3D"/>
          <w:sz w:val="21"/>
          <w:szCs w:val="21"/>
        </w:rPr>
      </w:pPr>
      <w:r>
        <w:rPr>
          <w:rStyle w:val="Emphasis"/>
          <w:rFonts w:ascii="Segoe UI" w:hAnsi="Segoe UI" w:cs="Segoe UI"/>
          <w:color w:val="352F3D"/>
          <w:sz w:val="21"/>
          <w:szCs w:val="21"/>
        </w:rPr>
        <w:t>Scripture quotations are from the NET Bible unless otherwise noted.</w:t>
      </w:r>
    </w:p>
    <w:p w14:paraId="6DDA6127" w14:textId="77777777" w:rsidR="00A94C8F" w:rsidRDefault="00425303" w:rsidP="00A94C8F">
      <w:pPr>
        <w:rPr>
          <w:rFonts w:ascii="Segoe UI" w:hAnsi="Segoe UI" w:cs="Segoe UI"/>
          <w:sz w:val="21"/>
          <w:szCs w:val="21"/>
        </w:rPr>
      </w:pPr>
      <w:r>
        <w:pict w14:anchorId="1250AED1">
          <v:rect id="Rectangle 51" o:spid="_x0000_s2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CDFE4A"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1 Timothy 2:8–15 (NET)</w:t>
      </w:r>
      <w:r>
        <w:rPr>
          <w:rFonts w:ascii="Segoe UI" w:hAnsi="Segoe UI" w:cs="Segoe UI"/>
          <w:color w:val="352F3D"/>
          <w:sz w:val="21"/>
          <w:szCs w:val="21"/>
        </w:rPr>
        <w:t> So I want the men to pray in every place, lifting up holy hands without anger or dispute. (9) Likewise the women are to dress in suitable apparel, with modesty and self-control. Their adornment must not be with braided hair and gold or pearls or expensive clothing, (10) but with good deeds, as is proper for women who profess reverence for God. (11) A woman must learn quietly with all submissiveness. (12) But I do not allow a woman to teach or exercise authority over a man. She must remain quiet. (13) For Adam was formed first and then Eve. (14) And Adam was not deceived, but the woman, because she was fully deceived, fell into transgression. (15) But she will be delivered through childbearing, if she continues in faith and love and holiness with self-control.</w:t>
      </w:r>
    </w:p>
    <w:p w14:paraId="12A15718" w14:textId="77777777" w:rsidR="00A94C8F" w:rsidRDefault="00425303" w:rsidP="00A94C8F">
      <w:pPr>
        <w:rPr>
          <w:rFonts w:ascii="Segoe UI" w:hAnsi="Segoe UI" w:cs="Segoe UI"/>
          <w:sz w:val="21"/>
          <w:szCs w:val="21"/>
        </w:rPr>
      </w:pPr>
      <w:r>
        <w:pict w14:anchorId="66CD52F2">
          <v:rect id="Rectangle 49" o:spid="_x0000_s2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96F116"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One: Scope</w:t>
      </w:r>
    </w:p>
    <w:p w14:paraId="03ABA9C5" w14:textId="77777777" w:rsidR="00A94C8F" w:rsidRDefault="00A94C8F" w:rsidP="00A94C8F">
      <w:pPr>
        <w:pStyle w:val="Heading2"/>
        <w:spacing w:before="360" w:after="240"/>
        <w:rPr>
          <w:rFonts w:ascii="Segoe UI" w:hAnsi="Segoe UI" w:cs="Segoe UI"/>
          <w:color w:val="352F3D"/>
        </w:rPr>
      </w:pPr>
      <w:r>
        <w:rPr>
          <w:rFonts w:ascii="Segoe UI" w:hAnsi="Segoe UI" w:cs="Segoe UI"/>
          <w:color w:val="352F3D"/>
        </w:rPr>
        <w:t>1.1 The Two Positions</w:t>
      </w:r>
    </w:p>
    <w:p w14:paraId="6B9C96B2" w14:textId="511FB7D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Anyone writing on this passage must choose between two positions, and much confusion comes from writers who never make the choice explicit.</w:t>
      </w:r>
    </w:p>
    <w:p w14:paraId="714E2A57" w14:textId="7A928692"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The broad position.</w:t>
      </w:r>
      <w:r>
        <w:rPr>
          <w:rFonts w:ascii="Segoe UI" w:hAnsi="Segoe UI" w:cs="Segoe UI"/>
          <w:color w:val="352F3D"/>
          <w:sz w:val="21"/>
          <w:szCs w:val="21"/>
        </w:rPr>
        <w:t> Scripture restricts women from speaking in the assembly at all, and from teaching, baptizing, and presiding at the Lord's Supper. Tertullian states it in exactly those four verbs: a woman is not permitted "to speak in the church, nor to teach, nor to baptize, nor to offer" (</w:t>
      </w:r>
      <w:r>
        <w:rPr>
          <w:rStyle w:val="Emphasis"/>
          <w:rFonts w:ascii="Segoe UI" w:hAnsi="Segoe UI" w:cs="Segoe UI"/>
          <w:color w:val="352F3D"/>
          <w:sz w:val="21"/>
          <w:szCs w:val="21"/>
        </w:rPr>
        <w:t>On the Veiling of Virgins</w:t>
      </w:r>
      <w:r>
        <w:rPr>
          <w:rFonts w:ascii="Segoe UI" w:hAnsi="Segoe UI" w:cs="Segoe UI"/>
          <w:color w:val="352F3D"/>
          <w:sz w:val="21"/>
          <w:szCs w:val="21"/>
        </w:rPr>
        <w:t> 9). This position reads 1 Corinthians 14:34 at full strength and treats the ante-Nicene consensus as apostolic practice carrying normative weight. This position has held as normative church practice for two millennia.</w:t>
      </w:r>
      <w:r w:rsidR="009D3E26">
        <w:rPr>
          <w:rFonts w:ascii="Segoe UI" w:hAnsi="Segoe UI" w:cs="Segoe UI"/>
          <w:color w:val="352F3D"/>
          <w:sz w:val="21"/>
          <w:szCs w:val="21"/>
        </w:rPr>
        <w:t xml:space="preserve">  </w:t>
      </w:r>
    </w:p>
    <w:p w14:paraId="5EBB3939" w14:textId="6794BA5A"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The narrow position.</w:t>
      </w:r>
      <w:r>
        <w:rPr>
          <w:rFonts w:ascii="Segoe UI" w:hAnsi="Segoe UI" w:cs="Segoe UI"/>
          <w:color w:val="352F3D"/>
          <w:sz w:val="21"/>
          <w:szCs w:val="21"/>
        </w:rPr>
        <w:t xml:space="preserve"> Scripture restricts one function: the authoritative doctrinal teaching that governs the gathered church, along with the elder or overseer office attached to it. Other forms of participation (praying, prophesying, singing, confessing, teaching women and children, private instruction, diaconal service) are not </w:t>
      </w:r>
      <w:r w:rsidR="00A22EBA">
        <w:rPr>
          <w:rFonts w:ascii="Segoe UI" w:hAnsi="Segoe UI" w:cs="Segoe UI"/>
          <w:color w:val="352F3D"/>
          <w:sz w:val="21"/>
          <w:szCs w:val="21"/>
        </w:rPr>
        <w:t xml:space="preserve">explicitly </w:t>
      </w:r>
      <w:r>
        <w:rPr>
          <w:rFonts w:ascii="Segoe UI" w:hAnsi="Segoe UI" w:cs="Segoe UI"/>
          <w:color w:val="352F3D"/>
          <w:sz w:val="21"/>
          <w:szCs w:val="21"/>
        </w:rPr>
        <w:t>restricted.</w:t>
      </w:r>
    </w:p>
    <w:p w14:paraId="4F8F3605" w14:textId="144F768A" w:rsidR="00A94C8F" w:rsidRPr="001B4436"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This study argues the narrow position.</w:t>
      </w:r>
      <w:r w:rsidR="001B4436">
        <w:rPr>
          <w:rStyle w:val="Strong"/>
          <w:rFonts w:ascii="Segoe UI" w:hAnsi="Segoe UI" w:cs="Segoe UI"/>
          <w:b w:val="0"/>
          <w:bCs w:val="0"/>
          <w:color w:val="352F3D"/>
          <w:sz w:val="21"/>
          <w:szCs w:val="21"/>
        </w:rPr>
        <w:t xml:space="preserve">  </w:t>
      </w:r>
      <w:r w:rsidR="00A22EBA">
        <w:rPr>
          <w:rStyle w:val="Strong"/>
          <w:rFonts w:ascii="Segoe UI" w:hAnsi="Segoe UI" w:cs="Segoe UI"/>
          <w:b w:val="0"/>
          <w:bCs w:val="0"/>
          <w:color w:val="352F3D"/>
          <w:sz w:val="21"/>
          <w:szCs w:val="21"/>
        </w:rPr>
        <w:t>I</w:t>
      </w:r>
      <w:r w:rsidR="006B6BAF">
        <w:rPr>
          <w:rStyle w:val="Strong"/>
          <w:rFonts w:ascii="Segoe UI" w:hAnsi="Segoe UI" w:cs="Segoe UI"/>
          <w:b w:val="0"/>
          <w:bCs w:val="0"/>
          <w:color w:val="352F3D"/>
          <w:sz w:val="21"/>
          <w:szCs w:val="21"/>
        </w:rPr>
        <w:t xml:space="preserve">t seems appropriate that anyone arguing against the normative precedent established by apostolic-era Christian communities should face a high-bar of </w:t>
      </w:r>
      <w:r w:rsidR="00677D33">
        <w:rPr>
          <w:rStyle w:val="Strong"/>
          <w:rFonts w:ascii="Segoe UI" w:hAnsi="Segoe UI" w:cs="Segoe UI"/>
          <w:b w:val="0"/>
          <w:bCs w:val="0"/>
          <w:color w:val="352F3D"/>
          <w:sz w:val="21"/>
          <w:szCs w:val="21"/>
        </w:rPr>
        <w:t xml:space="preserve">critical analysis.  </w:t>
      </w:r>
      <w:r w:rsidR="00A22EBA">
        <w:rPr>
          <w:rStyle w:val="Strong"/>
          <w:rFonts w:ascii="Segoe UI" w:hAnsi="Segoe UI" w:cs="Segoe UI"/>
          <w:b w:val="0"/>
          <w:bCs w:val="0"/>
          <w:color w:val="352F3D"/>
          <w:sz w:val="21"/>
          <w:szCs w:val="21"/>
        </w:rPr>
        <w:t>Early church practices and non-Apostolic writings provide sufficient sources for topical debate.  Such c</w:t>
      </w:r>
      <w:r w:rsidR="00677D33">
        <w:rPr>
          <w:rStyle w:val="Strong"/>
          <w:rFonts w:ascii="Segoe UI" w:hAnsi="Segoe UI" w:cs="Segoe UI"/>
          <w:b w:val="0"/>
          <w:bCs w:val="0"/>
          <w:color w:val="352F3D"/>
          <w:sz w:val="21"/>
          <w:szCs w:val="21"/>
        </w:rPr>
        <w:t>riticism is not within the scope of this document.</w:t>
      </w:r>
    </w:p>
    <w:p w14:paraId="44183063"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1.2 Why Narrow</w:t>
      </w:r>
    </w:p>
    <w:p w14:paraId="6F05263F" w14:textId="40A77ABC" w:rsidR="00A94C8F" w:rsidRDefault="00852949"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Four reasons</w:t>
      </w:r>
      <w:r w:rsidR="00A94C8F">
        <w:rPr>
          <w:rFonts w:ascii="Segoe UI" w:hAnsi="Segoe UI" w:cs="Segoe UI"/>
          <w:color w:val="352F3D"/>
          <w:sz w:val="21"/>
          <w:szCs w:val="21"/>
        </w:rPr>
        <w:t xml:space="preserve"> stated plainly.</w:t>
      </w:r>
    </w:p>
    <w:p w14:paraId="3399286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First, 1 Corinthians 11:5.</w:t>
      </w:r>
      <w:r>
        <w:rPr>
          <w:rFonts w:ascii="Segoe UI" w:hAnsi="Segoe UI" w:cs="Segoe UI"/>
          <w:color w:val="352F3D"/>
          <w:sz w:val="21"/>
          <w:szCs w:val="21"/>
        </w:rPr>
        <w:t> Paul assumes women pray and prophesy, and he regulates how rather than whether. The broad position must either relocate this to a non-assembly setting, which the text does not indicate, or treat it as inconsistent with 14:34. The narrow position holds both verses without strain.</w:t>
      </w:r>
    </w:p>
    <w:p w14:paraId="15AF2E37"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lastRenderedPageBreak/>
        <w:t>Second, Titus 2:3–5.</w:t>
      </w:r>
      <w:r>
        <w:rPr>
          <w:rFonts w:ascii="Segoe UI" w:hAnsi="Segoe UI" w:cs="Segoe UI"/>
          <w:color w:val="352F3D"/>
          <w:sz w:val="21"/>
          <w:szCs w:val="21"/>
        </w:rPr>
        <w:t> Older women are instructed to teach what is good and to train younger women. The verb root (</w:t>
      </w:r>
      <w:r>
        <w:rPr>
          <w:rStyle w:val="Emphasis"/>
          <w:rFonts w:ascii="Segoe UI" w:hAnsi="Segoe UI" w:cs="Segoe UI"/>
          <w:color w:val="352F3D"/>
          <w:sz w:val="21"/>
          <w:szCs w:val="21"/>
        </w:rPr>
        <w:t>didask-</w:t>
      </w:r>
      <w:r>
        <w:rPr>
          <w:rFonts w:ascii="Segoe UI" w:hAnsi="Segoe UI" w:cs="Segoe UI"/>
          <w:color w:val="352F3D"/>
          <w:sz w:val="21"/>
          <w:szCs w:val="21"/>
        </w:rPr>
        <w:t>) is the same one restricted in 1 Timothy 2:12. Paul is plainly not prohibiting all teaching by women. He is regulating a setting and a function.</w:t>
      </w:r>
    </w:p>
    <w:p w14:paraId="7C8CBC0F" w14:textId="77B163A6"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Third, Acts 18:26.</w:t>
      </w:r>
      <w:r>
        <w:rPr>
          <w:rFonts w:ascii="Segoe UI" w:hAnsi="Segoe UI" w:cs="Segoe UI"/>
          <w:color w:val="352F3D"/>
          <w:sz w:val="21"/>
          <w:szCs w:val="21"/>
        </w:rPr>
        <w:t xml:space="preserve"> Priscilla and Aquila took Apollos aside and explained the way of God more accurately. Luke reports this without censure. The broad position must explain it away. The narrow position permits </w:t>
      </w:r>
      <w:r w:rsidR="00677D33">
        <w:rPr>
          <w:rFonts w:ascii="Segoe UI" w:hAnsi="Segoe UI" w:cs="Segoe UI"/>
          <w:color w:val="352F3D"/>
          <w:sz w:val="21"/>
          <w:szCs w:val="21"/>
        </w:rPr>
        <w:t>it</w:t>
      </w:r>
      <w:r>
        <w:rPr>
          <w:rFonts w:ascii="Segoe UI" w:hAnsi="Segoe UI" w:cs="Segoe UI"/>
          <w:color w:val="352F3D"/>
          <w:sz w:val="21"/>
          <w:szCs w:val="21"/>
        </w:rPr>
        <w:t xml:space="preserve"> directly</w:t>
      </w:r>
      <w:r w:rsidR="009D3E26">
        <w:rPr>
          <w:rFonts w:ascii="Segoe UI" w:hAnsi="Segoe UI" w:cs="Segoe UI"/>
          <w:color w:val="352F3D"/>
          <w:sz w:val="21"/>
          <w:szCs w:val="21"/>
        </w:rPr>
        <w:t>.</w:t>
      </w:r>
      <w:r w:rsidR="00F469B8">
        <w:rPr>
          <w:rFonts w:ascii="Segoe UI" w:hAnsi="Segoe UI" w:cs="Segoe UI"/>
          <w:color w:val="352F3D"/>
          <w:sz w:val="21"/>
          <w:szCs w:val="21"/>
        </w:rPr>
        <w:t xml:space="preserve">  Note also the differences in teaching venue, private versus assembly.</w:t>
      </w:r>
    </w:p>
    <w:p w14:paraId="3E17819D" w14:textId="21FB9B31"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Fourth, the placement of chapter 3.</w:t>
      </w:r>
      <w:r>
        <w:rPr>
          <w:rFonts w:ascii="Segoe UI" w:hAnsi="Segoe UI" w:cs="Segoe UI"/>
          <w:color w:val="352F3D"/>
          <w:sz w:val="21"/>
          <w:szCs w:val="21"/>
        </w:rPr>
        <w:t> Immediately after 2:11–15 come the qualifications for overseers, where "able to teach" is a listed requirement (3:2). The restriction in 2:12 and the office in 3:2 sit adjacent for a reason. This suggests 2:12 concerns the governing</w:t>
      </w:r>
      <w:r w:rsidR="00F469B8">
        <w:rPr>
          <w:rFonts w:ascii="Segoe UI" w:hAnsi="Segoe UI" w:cs="Segoe UI"/>
          <w:color w:val="352F3D"/>
          <w:sz w:val="21"/>
          <w:szCs w:val="21"/>
        </w:rPr>
        <w:t xml:space="preserve"> or authoritative </w:t>
      </w:r>
      <w:r>
        <w:rPr>
          <w:rFonts w:ascii="Segoe UI" w:hAnsi="Segoe UI" w:cs="Segoe UI"/>
          <w:color w:val="352F3D"/>
          <w:sz w:val="21"/>
          <w:szCs w:val="21"/>
        </w:rPr>
        <w:t>teaching function, not speech in general.</w:t>
      </w:r>
      <w:r w:rsidR="00006321">
        <w:rPr>
          <w:rFonts w:ascii="Segoe UI" w:hAnsi="Segoe UI" w:cs="Segoe UI"/>
          <w:color w:val="352F3D"/>
          <w:sz w:val="21"/>
          <w:szCs w:val="21"/>
        </w:rPr>
        <w:t xml:space="preserve"> </w:t>
      </w:r>
    </w:p>
    <w:p w14:paraId="26D428BF"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1.3 What This Study Does Not Claim</w:t>
      </w:r>
    </w:p>
    <w:p w14:paraId="342BF085"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Precision protects an argument. Overclaiming destroys it.</w:t>
      </w:r>
    </w:p>
    <w:p w14:paraId="14B6DC96" w14:textId="440D0B9D"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On baptism.</w:t>
      </w:r>
      <w:r>
        <w:rPr>
          <w:rFonts w:ascii="Segoe UI" w:hAnsi="Segoe UI" w:cs="Segoe UI"/>
          <w:color w:val="352F3D"/>
          <w:sz w:val="21"/>
          <w:szCs w:val="21"/>
        </w:rPr>
        <w:t> The New Testament contains no explicit prohibition on a woman baptizing. The early church did prohibit it</w:t>
      </w:r>
      <w:r w:rsidR="00C75D40">
        <w:rPr>
          <w:rFonts w:ascii="Segoe UI" w:hAnsi="Segoe UI" w:cs="Segoe UI"/>
          <w:color w:val="352F3D"/>
          <w:sz w:val="21"/>
          <w:szCs w:val="21"/>
        </w:rPr>
        <w:t xml:space="preserve">...., </w:t>
      </w:r>
      <w:r>
        <w:rPr>
          <w:rFonts w:ascii="Segoe UI" w:hAnsi="Segoe UI" w:cs="Segoe UI"/>
          <w:color w:val="352F3D"/>
          <w:sz w:val="21"/>
          <w:szCs w:val="21"/>
        </w:rPr>
        <w:t>Tertullian argues against it directly in </w:t>
      </w:r>
      <w:r>
        <w:rPr>
          <w:rStyle w:val="Emphasis"/>
          <w:rFonts w:ascii="Segoe UI" w:hAnsi="Segoe UI" w:cs="Segoe UI"/>
          <w:color w:val="352F3D"/>
          <w:sz w:val="21"/>
          <w:szCs w:val="21"/>
        </w:rPr>
        <w:t>On Baptism</w:t>
      </w:r>
      <w:r>
        <w:rPr>
          <w:rFonts w:ascii="Segoe UI" w:hAnsi="Segoe UI" w:cs="Segoe UI"/>
          <w:color w:val="352F3D"/>
          <w:sz w:val="21"/>
          <w:szCs w:val="21"/>
        </w:rPr>
        <w:t> 17, and the Syrian </w:t>
      </w:r>
      <w:r>
        <w:rPr>
          <w:rStyle w:val="Emphasis"/>
          <w:rFonts w:ascii="Segoe UI" w:hAnsi="Segoe UI" w:cs="Segoe UI"/>
          <w:color w:val="352F3D"/>
          <w:sz w:val="21"/>
          <w:szCs w:val="21"/>
        </w:rPr>
        <w:t>Didascalia</w:t>
      </w:r>
      <w:r>
        <w:rPr>
          <w:rFonts w:ascii="Segoe UI" w:hAnsi="Segoe UI" w:cs="Segoe UI"/>
          <w:color w:val="352F3D"/>
          <w:sz w:val="21"/>
          <w:szCs w:val="21"/>
        </w:rPr>
        <w:t xml:space="preserve"> (c. 230–250) calls it "a transgression of the commandment." That is weighty testimony about apostolic practice. It is not </w:t>
      </w:r>
      <w:r w:rsidR="00F469B8">
        <w:rPr>
          <w:rFonts w:ascii="Segoe UI" w:hAnsi="Segoe UI" w:cs="Segoe UI"/>
          <w:color w:val="352F3D"/>
          <w:sz w:val="21"/>
          <w:szCs w:val="21"/>
        </w:rPr>
        <w:t xml:space="preserve">an explicit </w:t>
      </w:r>
      <w:r>
        <w:rPr>
          <w:rFonts w:ascii="Segoe UI" w:hAnsi="Segoe UI" w:cs="Segoe UI"/>
          <w:color w:val="352F3D"/>
          <w:sz w:val="21"/>
          <w:szCs w:val="21"/>
        </w:rPr>
        <w:t xml:space="preserve">apostolic </w:t>
      </w:r>
      <w:r w:rsidR="00F469B8">
        <w:rPr>
          <w:rFonts w:ascii="Segoe UI" w:hAnsi="Segoe UI" w:cs="Segoe UI"/>
          <w:color w:val="352F3D"/>
          <w:sz w:val="21"/>
          <w:szCs w:val="21"/>
        </w:rPr>
        <w:t>command</w:t>
      </w:r>
      <w:r>
        <w:rPr>
          <w:rFonts w:ascii="Segoe UI" w:hAnsi="Segoe UI" w:cs="Segoe UI"/>
          <w:color w:val="352F3D"/>
          <w:sz w:val="21"/>
          <w:szCs w:val="21"/>
        </w:rPr>
        <w:t>, and this study will not present it as one.</w:t>
      </w:r>
    </w:p>
    <w:p w14:paraId="463917CC" w14:textId="07E69751"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On the Lord's Supper.</w:t>
      </w:r>
      <w:r>
        <w:rPr>
          <w:rFonts w:ascii="Segoe UI" w:hAnsi="Segoe UI" w:cs="Segoe UI"/>
          <w:color w:val="352F3D"/>
          <w:sz w:val="21"/>
          <w:szCs w:val="21"/>
        </w:rPr>
        <w:t> Scripture does not specify who presides. Tertullian includes "offering"</w:t>
      </w:r>
      <w:r w:rsidR="00006321">
        <w:rPr>
          <w:rFonts w:ascii="Segoe UI" w:hAnsi="Segoe UI" w:cs="Segoe UI"/>
          <w:color w:val="352F3D"/>
          <w:sz w:val="21"/>
          <w:szCs w:val="21"/>
        </w:rPr>
        <w:t xml:space="preserve"> (i.e. communion)</w:t>
      </w:r>
      <w:r>
        <w:rPr>
          <w:rFonts w:ascii="Segoe UI" w:hAnsi="Segoe UI" w:cs="Segoe UI"/>
          <w:color w:val="352F3D"/>
          <w:sz w:val="21"/>
          <w:szCs w:val="21"/>
        </w:rPr>
        <w:t xml:space="preserve"> among the restricted functions and the early church was uniform on the point. Strong practice, no stated command. Note also that </w:t>
      </w:r>
      <w:r>
        <w:rPr>
          <w:rStyle w:val="Emphasis"/>
          <w:rFonts w:ascii="Segoe UI" w:hAnsi="Segoe UI" w:cs="Segoe UI"/>
          <w:color w:val="352F3D"/>
          <w:sz w:val="21"/>
          <w:szCs w:val="21"/>
        </w:rPr>
        <w:t>participation</w:t>
      </w:r>
      <w:r>
        <w:rPr>
          <w:rFonts w:ascii="Segoe UI" w:hAnsi="Segoe UI" w:cs="Segoe UI"/>
          <w:color w:val="352F3D"/>
          <w:sz w:val="21"/>
          <w:szCs w:val="21"/>
        </w:rPr>
        <w:t> in communion is never restricted; 1 Corinthians 11:28 addresses every person who eats.</w:t>
      </w:r>
    </w:p>
    <w:p w14:paraId="1752B485" w14:textId="13AE1D0A"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On silence generally.</w:t>
      </w:r>
      <w:r>
        <w:rPr>
          <w:rFonts w:ascii="Segoe UI" w:hAnsi="Segoe UI" w:cs="Segoe UI"/>
          <w:color w:val="352F3D"/>
          <w:sz w:val="21"/>
          <w:szCs w:val="21"/>
        </w:rPr>
        <w:t> Any reading requiring 1 Corinthians 11:5 to disappear is rejected here.</w:t>
      </w:r>
      <w:r w:rsidR="00D9415D">
        <w:rPr>
          <w:rFonts w:ascii="Segoe UI" w:hAnsi="Segoe UI" w:cs="Segoe UI"/>
          <w:color w:val="352F3D"/>
          <w:sz w:val="21"/>
          <w:szCs w:val="21"/>
        </w:rPr>
        <w:t xml:space="preserve">  </w:t>
      </w:r>
      <w:r w:rsidR="00F469B8">
        <w:rPr>
          <w:rFonts w:ascii="Segoe UI" w:hAnsi="Segoe UI" w:cs="Segoe UI"/>
          <w:color w:val="352F3D"/>
          <w:sz w:val="21"/>
          <w:szCs w:val="21"/>
        </w:rPr>
        <w:t>Women did prophecy, pray, and speak in tongues during assembly (though Paul restricted each form</w:t>
      </w:r>
      <w:r w:rsidR="00006321">
        <w:rPr>
          <w:rFonts w:ascii="Segoe UI" w:hAnsi="Segoe UI" w:cs="Segoe UI"/>
          <w:color w:val="352F3D"/>
          <w:sz w:val="21"/>
          <w:szCs w:val="21"/>
        </w:rPr>
        <w:t xml:space="preserve"> on account of prevalent disorder in the assembly</w:t>
      </w:r>
      <w:r w:rsidR="00F469B8">
        <w:rPr>
          <w:rFonts w:ascii="Segoe UI" w:hAnsi="Segoe UI" w:cs="Segoe UI"/>
          <w:color w:val="352F3D"/>
          <w:sz w:val="21"/>
          <w:szCs w:val="21"/>
        </w:rPr>
        <w:t>).</w:t>
      </w:r>
    </w:p>
    <w:p w14:paraId="5AE409C3" w14:textId="432BF26A"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1.4 The Honest Ranking</w:t>
      </w:r>
      <w:r w:rsidR="001B4436">
        <w:rPr>
          <w:rFonts w:ascii="Segoe UI" w:hAnsi="Segoe UI" w:cs="Segoe UI"/>
          <w:color w:val="352F3D"/>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3"/>
        <w:gridCol w:w="3854"/>
        <w:gridCol w:w="1643"/>
      </w:tblGrid>
      <w:tr w:rsidR="00A94C8F" w14:paraId="18FE4CFD" w14:textId="77777777" w:rsidTr="00D9415D">
        <w:trPr>
          <w:tblHeader/>
        </w:trPr>
        <w:tc>
          <w:tcPr>
            <w:tcW w:w="0" w:type="auto"/>
            <w:tcMar>
              <w:top w:w="75" w:type="dxa"/>
              <w:left w:w="150" w:type="dxa"/>
              <w:bottom w:w="75" w:type="dxa"/>
              <w:right w:w="150" w:type="dxa"/>
            </w:tcMar>
            <w:vAlign w:val="center"/>
            <w:hideMark/>
          </w:tcPr>
          <w:p w14:paraId="7957678F"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Claim</w:t>
            </w:r>
          </w:p>
        </w:tc>
        <w:tc>
          <w:tcPr>
            <w:tcW w:w="0" w:type="auto"/>
            <w:tcMar>
              <w:top w:w="75" w:type="dxa"/>
              <w:left w:w="150" w:type="dxa"/>
              <w:bottom w:w="75" w:type="dxa"/>
              <w:right w:w="150" w:type="dxa"/>
            </w:tcMar>
            <w:vAlign w:val="center"/>
            <w:hideMark/>
          </w:tcPr>
          <w:p w14:paraId="292CE478"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Basis</w:t>
            </w:r>
          </w:p>
        </w:tc>
        <w:tc>
          <w:tcPr>
            <w:tcW w:w="0" w:type="auto"/>
            <w:tcMar>
              <w:top w:w="75" w:type="dxa"/>
              <w:left w:w="150" w:type="dxa"/>
              <w:bottom w:w="75" w:type="dxa"/>
              <w:right w:w="150" w:type="dxa"/>
            </w:tcMar>
            <w:vAlign w:val="center"/>
            <w:hideMark/>
          </w:tcPr>
          <w:p w14:paraId="3A458B50"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Strength</w:t>
            </w:r>
          </w:p>
        </w:tc>
      </w:tr>
      <w:tr w:rsidR="00A94C8F" w14:paraId="20244461" w14:textId="77777777" w:rsidTr="00D9415D">
        <w:tc>
          <w:tcPr>
            <w:tcW w:w="0" w:type="auto"/>
            <w:tcMar>
              <w:top w:w="75" w:type="dxa"/>
              <w:left w:w="150" w:type="dxa"/>
              <w:bottom w:w="75" w:type="dxa"/>
              <w:right w:w="150" w:type="dxa"/>
            </w:tcMar>
            <w:vAlign w:val="center"/>
            <w:hideMark/>
          </w:tcPr>
          <w:p w14:paraId="6EDC3FFA" w14:textId="7A8EAA78" w:rsidR="00A94C8F" w:rsidRDefault="00A94C8F">
            <w:pPr>
              <w:spacing w:after="168"/>
              <w:rPr>
                <w:rFonts w:ascii="Segoe UI" w:hAnsi="Segoe UI" w:cs="Segoe UI"/>
                <w:color w:val="352F3D"/>
                <w:sz w:val="21"/>
                <w:szCs w:val="21"/>
              </w:rPr>
            </w:pPr>
            <w:r>
              <w:rPr>
                <w:rFonts w:ascii="Segoe UI" w:hAnsi="Segoe UI" w:cs="Segoe UI"/>
                <w:color w:val="352F3D"/>
                <w:sz w:val="21"/>
                <w:szCs w:val="21"/>
              </w:rPr>
              <w:t>Elder/overseer</w:t>
            </w:r>
            <w:r w:rsidR="00677D33">
              <w:rPr>
                <w:rFonts w:ascii="Segoe UI" w:hAnsi="Segoe UI" w:cs="Segoe UI"/>
                <w:color w:val="352F3D"/>
                <w:sz w:val="21"/>
                <w:szCs w:val="21"/>
              </w:rPr>
              <w:t xml:space="preserve"> &amp; deacon </w:t>
            </w:r>
            <w:r>
              <w:rPr>
                <w:rFonts w:ascii="Segoe UI" w:hAnsi="Segoe UI" w:cs="Segoe UI"/>
                <w:color w:val="352F3D"/>
                <w:sz w:val="21"/>
                <w:szCs w:val="21"/>
              </w:rPr>
              <w:t>office restricted to men</w:t>
            </w:r>
          </w:p>
        </w:tc>
        <w:tc>
          <w:tcPr>
            <w:tcW w:w="0" w:type="auto"/>
            <w:tcMar>
              <w:top w:w="75" w:type="dxa"/>
              <w:left w:w="150" w:type="dxa"/>
              <w:bottom w:w="75" w:type="dxa"/>
              <w:right w:w="150" w:type="dxa"/>
            </w:tcMar>
            <w:vAlign w:val="center"/>
            <w:hideMark/>
          </w:tcPr>
          <w:p w14:paraId="128F5142" w14:textId="6E7CA6B0" w:rsidR="00A94C8F" w:rsidRDefault="00A94C8F">
            <w:pPr>
              <w:spacing w:after="168"/>
              <w:rPr>
                <w:rFonts w:ascii="Segoe UI" w:hAnsi="Segoe UI" w:cs="Segoe UI"/>
                <w:color w:val="352F3D"/>
                <w:sz w:val="21"/>
                <w:szCs w:val="21"/>
              </w:rPr>
            </w:pPr>
            <w:r>
              <w:rPr>
                <w:rFonts w:ascii="Segoe UI" w:hAnsi="Segoe UI" w:cs="Segoe UI"/>
                <w:color w:val="352F3D"/>
                <w:sz w:val="21"/>
                <w:szCs w:val="21"/>
              </w:rPr>
              <w:t xml:space="preserve">1 Tim 3:2; </w:t>
            </w:r>
            <w:r w:rsidR="00677D33">
              <w:rPr>
                <w:rFonts w:ascii="Segoe UI" w:hAnsi="Segoe UI" w:cs="Segoe UI"/>
                <w:color w:val="352F3D"/>
                <w:sz w:val="21"/>
                <w:szCs w:val="21"/>
              </w:rPr>
              <w:t>1 Tim 3:11</w:t>
            </w:r>
            <w:r w:rsidR="00D9415D">
              <w:rPr>
                <w:rFonts w:ascii="Segoe UI" w:hAnsi="Segoe UI" w:cs="Segoe UI"/>
                <w:color w:val="352F3D"/>
                <w:sz w:val="21"/>
                <w:szCs w:val="21"/>
              </w:rPr>
              <w:t>;</w:t>
            </w:r>
            <w:r w:rsidR="00677D33">
              <w:rPr>
                <w:rFonts w:ascii="Segoe UI" w:hAnsi="Segoe UI" w:cs="Segoe UI"/>
                <w:color w:val="352F3D"/>
                <w:sz w:val="21"/>
                <w:szCs w:val="21"/>
              </w:rPr>
              <w:t xml:space="preserve"> </w:t>
            </w:r>
            <w:r>
              <w:rPr>
                <w:rFonts w:ascii="Segoe UI" w:hAnsi="Segoe UI" w:cs="Segoe UI"/>
                <w:color w:val="352F3D"/>
                <w:sz w:val="21"/>
                <w:szCs w:val="21"/>
              </w:rPr>
              <w:t>Titus 1:6 (explicit qualifications)</w:t>
            </w:r>
          </w:p>
        </w:tc>
        <w:tc>
          <w:tcPr>
            <w:tcW w:w="0" w:type="auto"/>
            <w:tcMar>
              <w:top w:w="75" w:type="dxa"/>
              <w:left w:w="150" w:type="dxa"/>
              <w:bottom w:w="75" w:type="dxa"/>
              <w:right w:w="150" w:type="dxa"/>
            </w:tcMar>
            <w:vAlign w:val="center"/>
            <w:hideMark/>
          </w:tcPr>
          <w:p w14:paraId="1F2D18FC"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Strongest</w:t>
            </w:r>
          </w:p>
        </w:tc>
      </w:tr>
      <w:tr w:rsidR="00A94C8F" w14:paraId="4199E0C3" w14:textId="77777777" w:rsidTr="00D9415D">
        <w:tc>
          <w:tcPr>
            <w:tcW w:w="0" w:type="auto"/>
            <w:tcMar>
              <w:top w:w="75" w:type="dxa"/>
              <w:left w:w="150" w:type="dxa"/>
              <w:bottom w:w="75" w:type="dxa"/>
              <w:right w:w="150" w:type="dxa"/>
            </w:tcMar>
            <w:vAlign w:val="center"/>
            <w:hideMark/>
          </w:tcPr>
          <w:p w14:paraId="2A6005FF"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Authoritative doctrinal teaching over men restricted</w:t>
            </w:r>
          </w:p>
        </w:tc>
        <w:tc>
          <w:tcPr>
            <w:tcW w:w="0" w:type="auto"/>
            <w:tcMar>
              <w:top w:w="75" w:type="dxa"/>
              <w:left w:w="150" w:type="dxa"/>
              <w:bottom w:w="75" w:type="dxa"/>
              <w:right w:w="150" w:type="dxa"/>
            </w:tcMar>
            <w:vAlign w:val="center"/>
            <w:hideMark/>
          </w:tcPr>
          <w:p w14:paraId="40D2C96D"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1 Tim 2:12 with creation rationale in v.13</w:t>
            </w:r>
          </w:p>
        </w:tc>
        <w:tc>
          <w:tcPr>
            <w:tcW w:w="0" w:type="auto"/>
            <w:tcMar>
              <w:top w:w="75" w:type="dxa"/>
              <w:left w:w="150" w:type="dxa"/>
              <w:bottom w:w="75" w:type="dxa"/>
              <w:right w:w="150" w:type="dxa"/>
            </w:tcMar>
            <w:vAlign w:val="center"/>
            <w:hideMark/>
          </w:tcPr>
          <w:p w14:paraId="71862081"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Strong</w:t>
            </w:r>
          </w:p>
        </w:tc>
      </w:tr>
      <w:tr w:rsidR="00A94C8F" w14:paraId="5EFB3BA7" w14:textId="77777777" w:rsidTr="00D9415D">
        <w:tc>
          <w:tcPr>
            <w:tcW w:w="0" w:type="auto"/>
            <w:tcMar>
              <w:top w:w="75" w:type="dxa"/>
              <w:left w:w="150" w:type="dxa"/>
              <w:bottom w:w="75" w:type="dxa"/>
              <w:right w:w="150" w:type="dxa"/>
            </w:tcMar>
            <w:vAlign w:val="center"/>
            <w:hideMark/>
          </w:tcPr>
          <w:p w14:paraId="475061E5"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Authoritative evaluation of prophecy restricted</w:t>
            </w:r>
          </w:p>
        </w:tc>
        <w:tc>
          <w:tcPr>
            <w:tcW w:w="0" w:type="auto"/>
            <w:tcMar>
              <w:top w:w="75" w:type="dxa"/>
              <w:left w:w="150" w:type="dxa"/>
              <w:bottom w:w="75" w:type="dxa"/>
              <w:right w:w="150" w:type="dxa"/>
            </w:tcMar>
            <w:vAlign w:val="center"/>
            <w:hideMark/>
          </w:tcPr>
          <w:p w14:paraId="71C86BD9"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1 Cor 14:29–35 in context</w:t>
            </w:r>
          </w:p>
        </w:tc>
        <w:tc>
          <w:tcPr>
            <w:tcW w:w="0" w:type="auto"/>
            <w:tcMar>
              <w:top w:w="75" w:type="dxa"/>
              <w:left w:w="150" w:type="dxa"/>
              <w:bottom w:w="75" w:type="dxa"/>
              <w:right w:w="150" w:type="dxa"/>
            </w:tcMar>
            <w:vAlign w:val="center"/>
            <w:hideMark/>
          </w:tcPr>
          <w:p w14:paraId="30DE65FC"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Moderate</w:t>
            </w:r>
          </w:p>
        </w:tc>
      </w:tr>
      <w:tr w:rsidR="00A94C8F" w14:paraId="14D6D047" w14:textId="77777777" w:rsidTr="00D9415D">
        <w:tc>
          <w:tcPr>
            <w:tcW w:w="0" w:type="auto"/>
            <w:tcMar>
              <w:top w:w="75" w:type="dxa"/>
              <w:left w:w="150" w:type="dxa"/>
              <w:bottom w:w="75" w:type="dxa"/>
              <w:right w:w="150" w:type="dxa"/>
            </w:tcMar>
            <w:vAlign w:val="center"/>
            <w:hideMark/>
          </w:tcPr>
          <w:p w14:paraId="672C5DF7"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Women not to baptize</w:t>
            </w:r>
          </w:p>
        </w:tc>
        <w:tc>
          <w:tcPr>
            <w:tcW w:w="0" w:type="auto"/>
            <w:tcMar>
              <w:top w:w="75" w:type="dxa"/>
              <w:left w:w="150" w:type="dxa"/>
              <w:bottom w:w="75" w:type="dxa"/>
              <w:right w:w="150" w:type="dxa"/>
            </w:tcMar>
            <w:vAlign w:val="center"/>
            <w:hideMark/>
          </w:tcPr>
          <w:p w14:paraId="2C1DC6F1"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Patristic practice, no NT command</w:t>
            </w:r>
          </w:p>
        </w:tc>
        <w:tc>
          <w:tcPr>
            <w:tcW w:w="0" w:type="auto"/>
            <w:tcMar>
              <w:top w:w="75" w:type="dxa"/>
              <w:left w:w="150" w:type="dxa"/>
              <w:bottom w:w="75" w:type="dxa"/>
              <w:right w:w="150" w:type="dxa"/>
            </w:tcMar>
            <w:vAlign w:val="center"/>
            <w:hideMark/>
          </w:tcPr>
          <w:p w14:paraId="0D65C8D8"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Weak scripturally</w:t>
            </w:r>
          </w:p>
        </w:tc>
      </w:tr>
      <w:tr w:rsidR="00A94C8F" w14:paraId="26ED2F3B" w14:textId="77777777" w:rsidTr="00D9415D">
        <w:tc>
          <w:tcPr>
            <w:tcW w:w="0" w:type="auto"/>
            <w:tcMar>
              <w:top w:w="75" w:type="dxa"/>
              <w:left w:w="150" w:type="dxa"/>
              <w:bottom w:w="75" w:type="dxa"/>
              <w:right w:w="150" w:type="dxa"/>
            </w:tcMar>
            <w:vAlign w:val="center"/>
            <w:hideMark/>
          </w:tcPr>
          <w:p w14:paraId="1000E40D"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Women not to preside at communion</w:t>
            </w:r>
          </w:p>
        </w:tc>
        <w:tc>
          <w:tcPr>
            <w:tcW w:w="0" w:type="auto"/>
            <w:tcMar>
              <w:top w:w="75" w:type="dxa"/>
              <w:left w:w="150" w:type="dxa"/>
              <w:bottom w:w="75" w:type="dxa"/>
              <w:right w:w="150" w:type="dxa"/>
            </w:tcMar>
            <w:vAlign w:val="center"/>
            <w:hideMark/>
          </w:tcPr>
          <w:p w14:paraId="0D39794D"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Patristic practice, no NT command</w:t>
            </w:r>
          </w:p>
        </w:tc>
        <w:tc>
          <w:tcPr>
            <w:tcW w:w="0" w:type="auto"/>
            <w:tcMar>
              <w:top w:w="75" w:type="dxa"/>
              <w:left w:w="150" w:type="dxa"/>
              <w:bottom w:w="75" w:type="dxa"/>
              <w:right w:w="150" w:type="dxa"/>
            </w:tcMar>
            <w:vAlign w:val="center"/>
            <w:hideMark/>
          </w:tcPr>
          <w:p w14:paraId="70EF49C0"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Weak scripturally</w:t>
            </w:r>
          </w:p>
        </w:tc>
      </w:tr>
      <w:tr w:rsidR="00A94C8F" w14:paraId="088BB594" w14:textId="77777777" w:rsidTr="00D9415D">
        <w:tc>
          <w:tcPr>
            <w:tcW w:w="0" w:type="auto"/>
            <w:tcMar>
              <w:top w:w="75" w:type="dxa"/>
              <w:left w:w="150" w:type="dxa"/>
              <w:bottom w:w="75" w:type="dxa"/>
              <w:right w:w="150" w:type="dxa"/>
            </w:tcMar>
            <w:vAlign w:val="center"/>
            <w:hideMark/>
          </w:tcPr>
          <w:p w14:paraId="7439B43C"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Women silent in all senses</w:t>
            </w:r>
          </w:p>
        </w:tc>
        <w:tc>
          <w:tcPr>
            <w:tcW w:w="0" w:type="auto"/>
            <w:tcMar>
              <w:top w:w="75" w:type="dxa"/>
              <w:left w:w="150" w:type="dxa"/>
              <w:bottom w:w="75" w:type="dxa"/>
              <w:right w:w="150" w:type="dxa"/>
            </w:tcMar>
            <w:vAlign w:val="center"/>
            <w:hideMark/>
          </w:tcPr>
          <w:p w14:paraId="64C45EC6"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Contradicted by 1 Cor 11:5</w:t>
            </w:r>
          </w:p>
        </w:tc>
        <w:tc>
          <w:tcPr>
            <w:tcW w:w="0" w:type="auto"/>
            <w:tcMar>
              <w:top w:w="75" w:type="dxa"/>
              <w:left w:w="150" w:type="dxa"/>
              <w:bottom w:w="75" w:type="dxa"/>
              <w:right w:w="150" w:type="dxa"/>
            </w:tcMar>
            <w:vAlign w:val="center"/>
            <w:hideMark/>
          </w:tcPr>
          <w:p w14:paraId="5C74D13B" w14:textId="701CB804" w:rsidR="00D9415D" w:rsidRDefault="00A94C8F">
            <w:pPr>
              <w:spacing w:after="168"/>
              <w:rPr>
                <w:rFonts w:ascii="Segoe UI" w:hAnsi="Segoe UI" w:cs="Segoe UI"/>
                <w:color w:val="352F3D"/>
                <w:sz w:val="21"/>
                <w:szCs w:val="21"/>
              </w:rPr>
            </w:pPr>
            <w:r>
              <w:rPr>
                <w:rFonts w:ascii="Segoe UI" w:hAnsi="Segoe UI" w:cs="Segoe UI"/>
                <w:color w:val="352F3D"/>
                <w:sz w:val="21"/>
                <w:szCs w:val="21"/>
              </w:rPr>
              <w:t>Not held</w:t>
            </w:r>
          </w:p>
        </w:tc>
      </w:tr>
      <w:tr w:rsidR="00D9415D" w14:paraId="118D5E1A" w14:textId="77777777" w:rsidTr="00D9415D">
        <w:tc>
          <w:tcPr>
            <w:tcW w:w="0" w:type="auto"/>
            <w:tcMar>
              <w:top w:w="75" w:type="dxa"/>
              <w:left w:w="150" w:type="dxa"/>
              <w:bottom w:w="75" w:type="dxa"/>
              <w:right w:w="150" w:type="dxa"/>
            </w:tcMar>
            <w:vAlign w:val="center"/>
          </w:tcPr>
          <w:p w14:paraId="4C937F38" w14:textId="074F2511" w:rsidR="00D9415D" w:rsidRDefault="00D9415D">
            <w:pPr>
              <w:spacing w:after="168"/>
              <w:rPr>
                <w:rFonts w:ascii="Segoe UI" w:hAnsi="Segoe UI" w:cs="Segoe UI"/>
                <w:color w:val="352F3D"/>
                <w:sz w:val="21"/>
                <w:szCs w:val="21"/>
              </w:rPr>
            </w:pPr>
            <w:r>
              <w:rPr>
                <w:rFonts w:ascii="Segoe UI" w:hAnsi="Segoe UI" w:cs="Segoe UI"/>
                <w:color w:val="352F3D"/>
                <w:sz w:val="21"/>
                <w:szCs w:val="21"/>
              </w:rPr>
              <w:t xml:space="preserve">Women </w:t>
            </w:r>
            <w:r w:rsidR="00006321">
              <w:rPr>
                <w:rFonts w:ascii="Segoe UI" w:hAnsi="Segoe UI" w:cs="Segoe UI"/>
                <w:color w:val="352F3D"/>
                <w:sz w:val="21"/>
                <w:szCs w:val="21"/>
              </w:rPr>
              <w:t xml:space="preserve">must </w:t>
            </w:r>
            <w:r w:rsidR="00314084">
              <w:rPr>
                <w:rFonts w:ascii="Segoe UI" w:hAnsi="Segoe UI" w:cs="Segoe UI"/>
                <w:color w:val="352F3D"/>
                <w:sz w:val="21"/>
                <w:szCs w:val="21"/>
              </w:rPr>
              <w:t>have quiet demeanor</w:t>
            </w:r>
            <w:r>
              <w:rPr>
                <w:rFonts w:ascii="Segoe UI" w:hAnsi="Segoe UI" w:cs="Segoe UI"/>
                <w:color w:val="352F3D"/>
                <w:sz w:val="21"/>
                <w:szCs w:val="21"/>
              </w:rPr>
              <w:t xml:space="preserve"> in church assembly</w:t>
            </w:r>
          </w:p>
        </w:tc>
        <w:tc>
          <w:tcPr>
            <w:tcW w:w="0" w:type="auto"/>
            <w:tcMar>
              <w:top w:w="75" w:type="dxa"/>
              <w:left w:w="150" w:type="dxa"/>
              <w:bottom w:w="75" w:type="dxa"/>
              <w:right w:w="150" w:type="dxa"/>
            </w:tcMar>
            <w:vAlign w:val="center"/>
          </w:tcPr>
          <w:p w14:paraId="5184575E" w14:textId="231EB233" w:rsidR="00D9415D" w:rsidRDefault="00D9415D">
            <w:pPr>
              <w:spacing w:after="168"/>
              <w:rPr>
                <w:rFonts w:ascii="Segoe UI" w:hAnsi="Segoe UI" w:cs="Segoe UI"/>
                <w:color w:val="352F3D"/>
                <w:sz w:val="21"/>
                <w:szCs w:val="21"/>
              </w:rPr>
            </w:pPr>
            <w:r>
              <w:rPr>
                <w:rFonts w:ascii="Segoe UI" w:hAnsi="Segoe UI" w:cs="Segoe UI"/>
                <w:color w:val="352F3D"/>
                <w:sz w:val="21"/>
                <w:szCs w:val="21"/>
              </w:rPr>
              <w:t xml:space="preserve">1 Cor 11; </w:t>
            </w:r>
            <w:r w:rsidR="00B24CEB">
              <w:rPr>
                <w:rFonts w:ascii="Segoe UI" w:hAnsi="Segoe UI" w:cs="Segoe UI"/>
                <w:color w:val="352F3D"/>
                <w:sz w:val="21"/>
                <w:szCs w:val="21"/>
              </w:rPr>
              <w:t xml:space="preserve">1 Cor 14:34; </w:t>
            </w:r>
            <w:r>
              <w:rPr>
                <w:rFonts w:ascii="Segoe UI" w:hAnsi="Segoe UI" w:cs="Segoe UI"/>
                <w:color w:val="352F3D"/>
                <w:sz w:val="21"/>
                <w:szCs w:val="21"/>
              </w:rPr>
              <w:t>1 Tim 2</w:t>
            </w:r>
            <w:r w:rsidR="00B24CEB">
              <w:rPr>
                <w:rFonts w:ascii="Segoe UI" w:hAnsi="Segoe UI" w:cs="Segoe UI"/>
                <w:color w:val="352F3D"/>
                <w:sz w:val="21"/>
                <w:szCs w:val="21"/>
              </w:rPr>
              <w:t xml:space="preserve">:11-12; </w:t>
            </w:r>
            <w:r>
              <w:rPr>
                <w:rFonts w:ascii="Segoe UI" w:hAnsi="Segoe UI" w:cs="Segoe UI"/>
                <w:color w:val="352F3D"/>
                <w:sz w:val="21"/>
                <w:szCs w:val="21"/>
              </w:rPr>
              <w:t>Apostolic directive</w:t>
            </w:r>
          </w:p>
        </w:tc>
        <w:tc>
          <w:tcPr>
            <w:tcW w:w="0" w:type="auto"/>
            <w:tcMar>
              <w:top w:w="75" w:type="dxa"/>
              <w:left w:w="150" w:type="dxa"/>
              <w:bottom w:w="75" w:type="dxa"/>
              <w:right w:w="150" w:type="dxa"/>
            </w:tcMar>
            <w:vAlign w:val="center"/>
          </w:tcPr>
          <w:p w14:paraId="5D188AB0" w14:textId="4F217E5F" w:rsidR="00D9415D" w:rsidRDefault="001D1438">
            <w:pPr>
              <w:spacing w:after="168"/>
              <w:rPr>
                <w:rFonts w:ascii="Segoe UI" w:hAnsi="Segoe UI" w:cs="Segoe UI"/>
                <w:color w:val="352F3D"/>
                <w:sz w:val="21"/>
                <w:szCs w:val="21"/>
              </w:rPr>
            </w:pPr>
            <w:r>
              <w:rPr>
                <w:rFonts w:ascii="Segoe UI" w:hAnsi="Segoe UI" w:cs="Segoe UI"/>
                <w:color w:val="352F3D"/>
                <w:sz w:val="21"/>
                <w:szCs w:val="21"/>
              </w:rPr>
              <w:t>Strong</w:t>
            </w:r>
          </w:p>
        </w:tc>
      </w:tr>
    </w:tbl>
    <w:p w14:paraId="72C1ACE1" w14:textId="77777777" w:rsidR="00A94C8F" w:rsidRDefault="00425303" w:rsidP="00A94C8F">
      <w:pPr>
        <w:spacing w:after="0"/>
        <w:rPr>
          <w:rFonts w:ascii="Segoe UI" w:hAnsi="Segoe UI" w:cs="Segoe UI"/>
          <w:sz w:val="21"/>
          <w:szCs w:val="21"/>
        </w:rPr>
      </w:pPr>
      <w:r>
        <w:pict w14:anchorId="40BBA983">
          <v:rect id="Rectangle 47" o:spid="_x0000_s206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1223D6"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Two: The Big Questions</w:t>
      </w:r>
    </w:p>
    <w:p w14:paraId="51F57207" w14:textId="03877CB6" w:rsidR="00A94C8F" w:rsidRDefault="00A94C8F"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 xml:space="preserve">Does Paul place a prohibition on Christian women serving as teachers in a mixed-gender </w:t>
      </w:r>
      <w:r w:rsidR="00963B56">
        <w:rPr>
          <w:rFonts w:ascii="Segoe UI" w:hAnsi="Segoe UI" w:cs="Segoe UI"/>
          <w:color w:val="352F3D"/>
          <w:sz w:val="21"/>
          <w:szCs w:val="21"/>
        </w:rPr>
        <w:t xml:space="preserve">church </w:t>
      </w:r>
      <w:r>
        <w:rPr>
          <w:rFonts w:ascii="Segoe UI" w:hAnsi="Segoe UI" w:cs="Segoe UI"/>
          <w:color w:val="352F3D"/>
          <w:sz w:val="21"/>
          <w:szCs w:val="21"/>
        </w:rPr>
        <w:t>assembly?</w:t>
      </w:r>
    </w:p>
    <w:p w14:paraId="5024539A" w14:textId="77777777" w:rsidR="00A94C8F" w:rsidRDefault="00A94C8F"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If so, is that prohibition local to Ephesus and temporary, or permanent and universal?</w:t>
      </w:r>
    </w:p>
    <w:p w14:paraId="1CA82BB7" w14:textId="77777777" w:rsidR="00A94C8F" w:rsidRDefault="00A94C8F"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How did the early church interpret and practice this passage?</w:t>
      </w:r>
    </w:p>
    <w:p w14:paraId="7AA1CD1D" w14:textId="77777777" w:rsidR="00A94C8F" w:rsidRDefault="00A94C8F"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What is the relationship between teaching and authority? Does the authority concept modify the teaching scenario?</w:t>
      </w:r>
    </w:p>
    <w:p w14:paraId="2C46D63C" w14:textId="39602A0D" w:rsidR="00A94C8F" w:rsidRDefault="00A94C8F"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What does this and related Scripture</w:t>
      </w:r>
      <w:r w:rsidR="00963B56">
        <w:rPr>
          <w:rFonts w:ascii="Segoe UI" w:hAnsi="Segoe UI" w:cs="Segoe UI"/>
          <w:color w:val="352F3D"/>
          <w:sz w:val="21"/>
          <w:szCs w:val="21"/>
        </w:rPr>
        <w:t xml:space="preserve"> (e.g. 1 Corinthians, Ephesians)</w:t>
      </w:r>
      <w:r>
        <w:rPr>
          <w:rFonts w:ascii="Segoe UI" w:hAnsi="Segoe UI" w:cs="Segoe UI"/>
          <w:color w:val="352F3D"/>
          <w:sz w:val="21"/>
          <w:szCs w:val="21"/>
        </w:rPr>
        <w:t xml:space="preserve"> indicate about the roles of men and women in the church?</w:t>
      </w:r>
      <w:r w:rsidR="00F469B8">
        <w:rPr>
          <w:rFonts w:ascii="Segoe UI" w:hAnsi="Segoe UI" w:cs="Segoe UI"/>
          <w:color w:val="352F3D"/>
          <w:sz w:val="21"/>
          <w:szCs w:val="21"/>
        </w:rPr>
        <w:t xml:space="preserve">  </w:t>
      </w:r>
    </w:p>
    <w:p w14:paraId="03D1B60A" w14:textId="2A308F70" w:rsidR="00F469B8" w:rsidRDefault="00F469B8" w:rsidP="00A94C8F">
      <w:pPr>
        <w:pStyle w:val="code-line"/>
        <w:numPr>
          <w:ilvl w:val="0"/>
          <w:numId w:val="63"/>
        </w:numPr>
        <w:rPr>
          <w:rFonts w:ascii="Segoe UI" w:hAnsi="Segoe UI" w:cs="Segoe UI"/>
          <w:color w:val="352F3D"/>
          <w:sz w:val="21"/>
          <w:szCs w:val="21"/>
        </w:rPr>
      </w:pPr>
      <w:r>
        <w:rPr>
          <w:rFonts w:ascii="Segoe UI" w:hAnsi="Segoe UI" w:cs="Segoe UI"/>
          <w:color w:val="352F3D"/>
          <w:sz w:val="21"/>
          <w:szCs w:val="21"/>
        </w:rPr>
        <w:t>Given that Paul refers to God’s created order (</w:t>
      </w:r>
      <w:r w:rsidR="004E4699">
        <w:rPr>
          <w:rFonts w:ascii="Segoe UI" w:hAnsi="Segoe UI" w:cs="Segoe UI"/>
          <w:color w:val="352F3D"/>
          <w:sz w:val="21"/>
          <w:szCs w:val="21"/>
        </w:rPr>
        <w:t xml:space="preserve">Genesis 2 </w:t>
      </w:r>
      <w:r w:rsidR="001D1438">
        <w:rPr>
          <w:rFonts w:ascii="Segoe UI" w:hAnsi="Segoe UI" w:cs="Segoe UI"/>
          <w:color w:val="352F3D"/>
          <w:sz w:val="21"/>
          <w:szCs w:val="21"/>
        </w:rPr>
        <w:t>–</w:t>
      </w:r>
      <w:r w:rsidR="004E4699">
        <w:rPr>
          <w:rFonts w:ascii="Segoe UI" w:hAnsi="Segoe UI" w:cs="Segoe UI"/>
          <w:color w:val="352F3D"/>
          <w:sz w:val="21"/>
          <w:szCs w:val="21"/>
        </w:rPr>
        <w:t xml:space="preserve"> </w:t>
      </w:r>
      <w:r>
        <w:rPr>
          <w:rFonts w:ascii="Segoe UI" w:hAnsi="Segoe UI" w:cs="Segoe UI"/>
          <w:color w:val="352F3D"/>
          <w:sz w:val="21"/>
          <w:szCs w:val="21"/>
        </w:rPr>
        <w:t>male</w:t>
      </w:r>
      <w:r w:rsidR="001D1438">
        <w:rPr>
          <w:rFonts w:ascii="Segoe UI" w:hAnsi="Segoe UI" w:cs="Segoe UI"/>
          <w:color w:val="352F3D"/>
          <w:sz w:val="21"/>
          <w:szCs w:val="21"/>
        </w:rPr>
        <w:t xml:space="preserve"> and </w:t>
      </w:r>
      <w:r>
        <w:rPr>
          <w:rFonts w:ascii="Segoe UI" w:hAnsi="Segoe UI" w:cs="Segoe UI"/>
          <w:color w:val="352F3D"/>
          <w:sz w:val="21"/>
          <w:szCs w:val="21"/>
        </w:rPr>
        <w:t>female</w:t>
      </w:r>
      <w:r w:rsidR="001D1438">
        <w:rPr>
          <w:rFonts w:ascii="Segoe UI" w:hAnsi="Segoe UI" w:cs="Segoe UI"/>
          <w:color w:val="352F3D"/>
          <w:sz w:val="21"/>
          <w:szCs w:val="21"/>
        </w:rPr>
        <w:t xml:space="preserve"> roles</w:t>
      </w:r>
      <w:r>
        <w:rPr>
          <w:rFonts w:ascii="Segoe UI" w:hAnsi="Segoe UI" w:cs="Segoe UI"/>
          <w:color w:val="352F3D"/>
          <w:sz w:val="21"/>
          <w:szCs w:val="21"/>
        </w:rPr>
        <w:t>) and even before the Fall</w:t>
      </w:r>
      <w:r w:rsidR="004E4699">
        <w:rPr>
          <w:rFonts w:ascii="Segoe UI" w:hAnsi="Segoe UI" w:cs="Segoe UI"/>
          <w:color w:val="352F3D"/>
          <w:sz w:val="21"/>
          <w:szCs w:val="21"/>
        </w:rPr>
        <w:t xml:space="preserve"> (Genesis 3), how does God’s original design indicate his purpose for gender roles</w:t>
      </w:r>
      <w:r w:rsidR="00C75D40">
        <w:rPr>
          <w:rFonts w:ascii="Segoe UI" w:hAnsi="Segoe UI" w:cs="Segoe UI"/>
          <w:color w:val="352F3D"/>
          <w:sz w:val="21"/>
          <w:szCs w:val="21"/>
        </w:rPr>
        <w:t xml:space="preserve"> within His church</w:t>
      </w:r>
      <w:r w:rsidR="004E4699">
        <w:rPr>
          <w:rFonts w:ascii="Segoe UI" w:hAnsi="Segoe UI" w:cs="Segoe UI"/>
          <w:color w:val="352F3D"/>
          <w:sz w:val="21"/>
          <w:szCs w:val="21"/>
        </w:rPr>
        <w:t xml:space="preserve">? </w:t>
      </w:r>
    </w:p>
    <w:p w14:paraId="349589A6" w14:textId="77777777" w:rsidR="00A94C8F" w:rsidRDefault="00425303" w:rsidP="00A94C8F">
      <w:pPr>
        <w:rPr>
          <w:rFonts w:ascii="Segoe UI" w:hAnsi="Segoe UI" w:cs="Segoe UI"/>
          <w:sz w:val="21"/>
          <w:szCs w:val="21"/>
        </w:rPr>
      </w:pPr>
      <w:r>
        <w:pict w14:anchorId="3E57C9BE">
          <v:rect id="Rectangle 45" o:spid="_x0000_s205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CE7494"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Three: Paraphrases</w:t>
      </w:r>
    </w:p>
    <w:p w14:paraId="765B325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These are not new translations. They are attempts to render the sense.</w:t>
      </w:r>
    </w:p>
    <w:p w14:paraId="23A75F58" w14:textId="1231EFAD"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Fuller paraphrase.</w:t>
      </w:r>
      <w:r>
        <w:rPr>
          <w:rFonts w:ascii="Segoe UI" w:hAnsi="Segoe UI" w:cs="Segoe UI"/>
          <w:color w:val="352F3D"/>
          <w:sz w:val="21"/>
          <w:szCs w:val="21"/>
        </w:rPr>
        <w:t xml:space="preserve"> In the same way, women should present themselves modestly and with self-control, not showcasing wealth, but showcasing good works that match reverence for God. A woman should receive teaching in a calm and receptive posture. I am not permitting a woman to function as the teacher who authoritatively directs men, nor to domineer in any way. </w:t>
      </w:r>
      <w:r w:rsidR="00852949">
        <w:rPr>
          <w:rFonts w:ascii="Segoe UI" w:hAnsi="Segoe UI" w:cs="Segoe UI"/>
          <w:color w:val="352F3D"/>
          <w:sz w:val="21"/>
          <w:szCs w:val="21"/>
        </w:rPr>
        <w:t>Instead,</w:t>
      </w:r>
      <w:r>
        <w:rPr>
          <w:rFonts w:ascii="Segoe UI" w:hAnsi="Segoe UI" w:cs="Segoe UI"/>
          <w:color w:val="352F3D"/>
          <w:sz w:val="21"/>
          <w:szCs w:val="21"/>
        </w:rPr>
        <w:t xml:space="preserve"> she should remain in that calm learner posture. This connects to the creation pattern </w:t>
      </w:r>
      <w:r w:rsidR="00852949">
        <w:rPr>
          <w:rFonts w:ascii="Segoe UI" w:hAnsi="Segoe UI" w:cs="Segoe UI"/>
          <w:color w:val="352F3D"/>
          <w:sz w:val="21"/>
          <w:szCs w:val="21"/>
        </w:rPr>
        <w:t xml:space="preserve">- </w:t>
      </w:r>
      <w:r>
        <w:rPr>
          <w:rFonts w:ascii="Segoe UI" w:hAnsi="Segoe UI" w:cs="Segoe UI"/>
          <w:color w:val="352F3D"/>
          <w:sz w:val="21"/>
          <w:szCs w:val="21"/>
        </w:rPr>
        <w:t xml:space="preserve">Adam formed first </w:t>
      </w:r>
      <w:r w:rsidR="00852949">
        <w:rPr>
          <w:rFonts w:ascii="Segoe UI" w:hAnsi="Segoe UI" w:cs="Segoe UI"/>
          <w:color w:val="352F3D"/>
          <w:sz w:val="21"/>
          <w:szCs w:val="21"/>
        </w:rPr>
        <w:t xml:space="preserve">- </w:t>
      </w:r>
      <w:r>
        <w:rPr>
          <w:rFonts w:ascii="Segoe UI" w:hAnsi="Segoe UI" w:cs="Segoe UI"/>
          <w:color w:val="352F3D"/>
          <w:sz w:val="21"/>
          <w:szCs w:val="21"/>
        </w:rPr>
        <w:t>and to the way deception played out at the Fall. Women are not shut out of salvation or honor. They live out deliverance as they persevere in faith, love, holiness, and self-control, even in ordinary embodied life such as childbearing.</w:t>
      </w:r>
    </w:p>
    <w:p w14:paraId="670172BB"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Closer to the Greek structure.</w:t>
      </w:r>
      <w:r>
        <w:rPr>
          <w:rFonts w:ascii="Segoe UI" w:hAnsi="Segoe UI" w:cs="Segoe UI"/>
          <w:color w:val="352F3D"/>
          <w:sz w:val="21"/>
          <w:szCs w:val="21"/>
        </w:rPr>
        <w:t> In the same way, women are to adorn themselves in proper clothing, with modesty and self-control, not with braided hair and gold or pearls or costly garments, but with good works, which is fitting for women who profess reverence for God. Let a woman learn in quietness, in all submission. I am not permitting a woman to teach nor to exercise authority over a man, but to be in quietness. For Adam was formed first, then Eve. And Adam was not deceived, but the woman, having been deceived, came to be in transgression. But she will be saved through childbearing, if they continue in faith and love and holiness with self-control.</w:t>
      </w:r>
    </w:p>
    <w:p w14:paraId="3D9B5FE0" w14:textId="3022CD15"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A contrasting egalitarian paraphrase of vv. 11–12.</w:t>
      </w:r>
      <w:r>
        <w:rPr>
          <w:rFonts w:ascii="Segoe UI" w:hAnsi="Segoe UI" w:cs="Segoe UI"/>
          <w:color w:val="352F3D"/>
          <w:sz w:val="21"/>
          <w:szCs w:val="21"/>
        </w:rPr>
        <w:t xml:space="preserve"> Let a woman learn, with a quiet demeanor and full receptiveness to the teaching. But I am not </w:t>
      </w:r>
      <w:r w:rsidRPr="004E4699">
        <w:rPr>
          <w:rFonts w:ascii="Segoe UI" w:hAnsi="Segoe UI" w:cs="Segoe UI"/>
          <w:i/>
          <w:iCs/>
          <w:color w:val="352F3D"/>
          <w:sz w:val="21"/>
          <w:szCs w:val="21"/>
        </w:rPr>
        <w:t>currently</w:t>
      </w:r>
      <w:r>
        <w:rPr>
          <w:rFonts w:ascii="Segoe UI" w:hAnsi="Segoe UI" w:cs="Segoe UI"/>
          <w:color w:val="352F3D"/>
          <w:sz w:val="21"/>
          <w:szCs w:val="21"/>
        </w:rPr>
        <w:t xml:space="preserve"> permitting a woman to teach in a</w:t>
      </w:r>
      <w:r w:rsidR="004E4699">
        <w:rPr>
          <w:rFonts w:ascii="Segoe UI" w:hAnsi="Segoe UI" w:cs="Segoe UI"/>
          <w:color w:val="352F3D"/>
          <w:sz w:val="21"/>
          <w:szCs w:val="21"/>
        </w:rPr>
        <w:t xml:space="preserve"> domineering</w:t>
      </w:r>
      <w:r>
        <w:rPr>
          <w:rFonts w:ascii="Segoe UI" w:hAnsi="Segoe UI" w:cs="Segoe UI"/>
          <w:color w:val="352F3D"/>
          <w:sz w:val="21"/>
          <w:szCs w:val="21"/>
        </w:rPr>
        <w:t xml:space="preserve"> manner over a man; rather she is to learn receptively.</w:t>
      </w:r>
    </w:p>
    <w:p w14:paraId="0CB9FC74"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Notice the two moves in that last version: the prohibition becomes temporary ("not currently"), and </w:t>
      </w:r>
      <w:r>
        <w:rPr>
          <w:rStyle w:val="Emphasis"/>
          <w:rFonts w:ascii="Segoe UI" w:hAnsi="Segoe UI" w:cs="Segoe UI"/>
          <w:color w:val="352F3D"/>
          <w:sz w:val="21"/>
          <w:szCs w:val="21"/>
        </w:rPr>
        <w:t>authentein</w:t>
      </w:r>
      <w:r>
        <w:rPr>
          <w:rFonts w:ascii="Segoe UI" w:hAnsi="Segoe UI" w:cs="Segoe UI"/>
          <w:color w:val="352F3D"/>
          <w:sz w:val="21"/>
          <w:szCs w:val="21"/>
        </w:rPr>
        <w:t> becomes an adverbial modifier on teaching ("in a domineering manner"). Part Five evaluates both moves.</w:t>
      </w:r>
    </w:p>
    <w:p w14:paraId="5616AD14" w14:textId="77777777" w:rsidR="00A94C8F" w:rsidRDefault="00425303" w:rsidP="00A94C8F">
      <w:pPr>
        <w:rPr>
          <w:rFonts w:ascii="Segoe UI" w:hAnsi="Segoe UI" w:cs="Segoe UI"/>
          <w:sz w:val="21"/>
          <w:szCs w:val="21"/>
        </w:rPr>
      </w:pPr>
      <w:r>
        <w:pict w14:anchorId="00C71245">
          <v:rect id="Rectangle 43" o:spid="_x0000_s205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FAC849"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Four: Passage Analysis</w:t>
      </w:r>
    </w:p>
    <w:p w14:paraId="35E26133" w14:textId="77777777" w:rsidR="00A94C8F" w:rsidRDefault="00A94C8F" w:rsidP="00A94C8F">
      <w:pPr>
        <w:pStyle w:val="Heading2"/>
        <w:spacing w:before="360" w:after="240"/>
        <w:rPr>
          <w:rFonts w:ascii="Segoe UI" w:hAnsi="Segoe UI" w:cs="Segoe UI"/>
          <w:color w:val="352F3D"/>
        </w:rPr>
      </w:pPr>
      <w:r>
        <w:rPr>
          <w:rFonts w:ascii="Segoe UI" w:hAnsi="Segoe UI" w:cs="Segoe UI"/>
          <w:color w:val="352F3D"/>
        </w:rPr>
        <w:t>4.1 Where This Sits in 1 Timothy</w:t>
      </w:r>
    </w:p>
    <w:p w14:paraId="48B7C2B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left Timothy in Ephesus to confront false teaching and re-stabilize church life (1:3–7). That includes sound teaching, public worship, qualified leadership, and community life fitting godliness (</w:t>
      </w:r>
      <w:r>
        <w:rPr>
          <w:rStyle w:val="Emphasis"/>
          <w:rFonts w:ascii="Segoe UI" w:hAnsi="Segoe UI" w:cs="Segoe UI"/>
          <w:color w:val="352F3D"/>
          <w:sz w:val="21"/>
          <w:szCs w:val="21"/>
        </w:rPr>
        <w:t>eusebeia</w:t>
      </w:r>
      <w:r>
        <w:rPr>
          <w:rFonts w:ascii="Segoe UI" w:hAnsi="Segoe UI" w:cs="Segoe UI"/>
          <w:color w:val="352F3D"/>
          <w:sz w:val="21"/>
          <w:szCs w:val="21"/>
        </w:rPr>
        <w:t>).</w:t>
      </w:r>
    </w:p>
    <w:p w14:paraId="4CB58A25"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Immediate flow:</w:t>
      </w:r>
    </w:p>
    <w:p w14:paraId="6B8198F6" w14:textId="26E3E1B2" w:rsidR="00A94C8F" w:rsidRDefault="00A94C8F" w:rsidP="00A94C8F">
      <w:pPr>
        <w:pStyle w:val="code-line"/>
        <w:numPr>
          <w:ilvl w:val="0"/>
          <w:numId w:val="64"/>
        </w:numPr>
        <w:rPr>
          <w:rFonts w:ascii="Segoe UI" w:hAnsi="Segoe UI" w:cs="Segoe UI"/>
          <w:color w:val="352F3D"/>
          <w:sz w:val="21"/>
          <w:szCs w:val="21"/>
        </w:rPr>
      </w:pPr>
      <w:r>
        <w:rPr>
          <w:rFonts w:ascii="Segoe UI" w:hAnsi="Segoe UI" w:cs="Segoe UI"/>
          <w:color w:val="352F3D"/>
          <w:sz w:val="21"/>
          <w:szCs w:val="21"/>
        </w:rPr>
        <w:lastRenderedPageBreak/>
        <w:t xml:space="preserve">2:1–7 </w:t>
      </w:r>
      <w:r w:rsidR="00963B56">
        <w:rPr>
          <w:rFonts w:ascii="Segoe UI" w:hAnsi="Segoe UI" w:cs="Segoe UI"/>
          <w:color w:val="352F3D"/>
          <w:sz w:val="21"/>
          <w:szCs w:val="21"/>
        </w:rPr>
        <w:t xml:space="preserve">- </w:t>
      </w:r>
      <w:r>
        <w:rPr>
          <w:rFonts w:ascii="Segoe UI" w:hAnsi="Segoe UI" w:cs="Segoe UI"/>
          <w:color w:val="352F3D"/>
          <w:sz w:val="21"/>
          <w:szCs w:val="21"/>
        </w:rPr>
        <w:t>public prayer for all people</w:t>
      </w:r>
    </w:p>
    <w:p w14:paraId="65D6084E" w14:textId="7B5CFE0D" w:rsidR="00A94C8F" w:rsidRDefault="00A94C8F" w:rsidP="00A94C8F">
      <w:pPr>
        <w:pStyle w:val="code-line"/>
        <w:numPr>
          <w:ilvl w:val="0"/>
          <w:numId w:val="64"/>
        </w:numPr>
        <w:rPr>
          <w:rFonts w:ascii="Segoe UI" w:hAnsi="Segoe UI" w:cs="Segoe UI"/>
          <w:color w:val="352F3D"/>
          <w:sz w:val="21"/>
          <w:szCs w:val="21"/>
        </w:rPr>
      </w:pPr>
      <w:r>
        <w:rPr>
          <w:rFonts w:ascii="Segoe UI" w:hAnsi="Segoe UI" w:cs="Segoe UI"/>
          <w:color w:val="352F3D"/>
          <w:sz w:val="21"/>
          <w:szCs w:val="21"/>
        </w:rPr>
        <w:t xml:space="preserve">2:8 </w:t>
      </w:r>
      <w:r w:rsidR="00963B56">
        <w:rPr>
          <w:rFonts w:ascii="Segoe UI" w:hAnsi="Segoe UI" w:cs="Segoe UI"/>
          <w:color w:val="352F3D"/>
          <w:sz w:val="21"/>
          <w:szCs w:val="21"/>
        </w:rPr>
        <w:t xml:space="preserve">- </w:t>
      </w:r>
      <w:r>
        <w:rPr>
          <w:rFonts w:ascii="Segoe UI" w:hAnsi="Segoe UI" w:cs="Segoe UI"/>
          <w:color w:val="352F3D"/>
          <w:sz w:val="21"/>
          <w:szCs w:val="21"/>
        </w:rPr>
        <w:t>men are to pray without anger or quarreling</w:t>
      </w:r>
    </w:p>
    <w:p w14:paraId="5F098A9A" w14:textId="29BB1463" w:rsidR="00A94C8F" w:rsidRDefault="00A94C8F" w:rsidP="00A94C8F">
      <w:pPr>
        <w:pStyle w:val="code-line"/>
        <w:numPr>
          <w:ilvl w:val="0"/>
          <w:numId w:val="64"/>
        </w:numPr>
        <w:rPr>
          <w:rFonts w:ascii="Segoe UI" w:hAnsi="Segoe UI" w:cs="Segoe UI"/>
          <w:color w:val="352F3D"/>
          <w:sz w:val="21"/>
          <w:szCs w:val="21"/>
        </w:rPr>
      </w:pPr>
      <w:r>
        <w:rPr>
          <w:rFonts w:ascii="Segoe UI" w:hAnsi="Segoe UI" w:cs="Segoe UI"/>
          <w:color w:val="352F3D"/>
          <w:sz w:val="21"/>
          <w:szCs w:val="21"/>
        </w:rPr>
        <w:t xml:space="preserve">2:9–10 </w:t>
      </w:r>
      <w:r w:rsidR="00963B56">
        <w:rPr>
          <w:rFonts w:ascii="Segoe UI" w:hAnsi="Segoe UI" w:cs="Segoe UI"/>
          <w:color w:val="352F3D"/>
          <w:sz w:val="21"/>
          <w:szCs w:val="21"/>
        </w:rPr>
        <w:t xml:space="preserve">- </w:t>
      </w:r>
      <w:r>
        <w:rPr>
          <w:rFonts w:ascii="Segoe UI" w:hAnsi="Segoe UI" w:cs="Segoe UI"/>
          <w:color w:val="352F3D"/>
          <w:sz w:val="21"/>
          <w:szCs w:val="21"/>
        </w:rPr>
        <w:t>women's outward presentation should fit reverence for God</w:t>
      </w:r>
    </w:p>
    <w:p w14:paraId="0C170FDD" w14:textId="59268DB2" w:rsidR="00A94C8F" w:rsidRDefault="00A94C8F" w:rsidP="00A94C8F">
      <w:pPr>
        <w:pStyle w:val="code-line"/>
        <w:numPr>
          <w:ilvl w:val="0"/>
          <w:numId w:val="64"/>
        </w:numPr>
        <w:rPr>
          <w:rFonts w:ascii="Segoe UI" w:hAnsi="Segoe UI" w:cs="Segoe UI"/>
          <w:color w:val="352F3D"/>
          <w:sz w:val="21"/>
          <w:szCs w:val="21"/>
        </w:rPr>
      </w:pPr>
      <w:r>
        <w:rPr>
          <w:rFonts w:ascii="Segoe UI" w:hAnsi="Segoe UI" w:cs="Segoe UI"/>
          <w:color w:val="352F3D"/>
          <w:sz w:val="21"/>
          <w:szCs w:val="21"/>
        </w:rPr>
        <w:t xml:space="preserve">2:11–15 </w:t>
      </w:r>
      <w:r w:rsidR="00963B56">
        <w:rPr>
          <w:rFonts w:ascii="Segoe UI" w:hAnsi="Segoe UI" w:cs="Segoe UI"/>
          <w:color w:val="352F3D"/>
          <w:sz w:val="21"/>
          <w:szCs w:val="21"/>
        </w:rPr>
        <w:t xml:space="preserve">- </w:t>
      </w:r>
      <w:r>
        <w:rPr>
          <w:rFonts w:ascii="Segoe UI" w:hAnsi="Segoe UI" w:cs="Segoe UI"/>
          <w:color w:val="352F3D"/>
          <w:sz w:val="21"/>
          <w:szCs w:val="21"/>
        </w:rPr>
        <w:t>women learn in a certain posture; a restriction tied to creation and deception; a difficult closing statement about childbearing</w:t>
      </w:r>
    </w:p>
    <w:p w14:paraId="6BC8438F"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is not a stray "women paragraph." It belongs to Paul's instructions for orderly, credible worship in a church threatened by disorder and doctrinal harm.</w:t>
      </w:r>
    </w:p>
    <w:p w14:paraId="7CD4C094"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4.2 Verses 9–10: Dress and Good Works</w:t>
      </w:r>
    </w:p>
    <w:p w14:paraId="08ECE2BB"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"Likewise" (ὡσαύτως, </w:t>
      </w:r>
      <w:r>
        <w:rPr>
          <w:rStyle w:val="Emphasis"/>
          <w:rFonts w:ascii="Segoe UI" w:hAnsi="Segoe UI" w:cs="Segoe UI"/>
          <w:color w:val="352F3D"/>
          <w:sz w:val="21"/>
          <w:szCs w:val="21"/>
        </w:rPr>
        <w:t>hōsautōs</w:t>
      </w:r>
      <w:r>
        <w:rPr>
          <w:rFonts w:ascii="Segoe UI" w:hAnsi="Segoe UI" w:cs="Segoe UI"/>
          <w:color w:val="352F3D"/>
          <w:sz w:val="21"/>
          <w:szCs w:val="21"/>
        </w:rPr>
        <w:t>) connects the women's instruction to v.8's instruction to men. Both concern what fitting worship looks like.</w:t>
      </w:r>
    </w:p>
    <w:p w14:paraId="02C2E83E" w14:textId="0F051F13" w:rsidR="00A94C8F" w:rsidRDefault="00A94C8F" w:rsidP="00A94C8F">
      <w:pPr>
        <w:pStyle w:val="code-line"/>
        <w:numPr>
          <w:ilvl w:val="0"/>
          <w:numId w:val="65"/>
        </w:numPr>
        <w:rPr>
          <w:rFonts w:ascii="Segoe UI" w:hAnsi="Segoe UI" w:cs="Segoe UI"/>
          <w:color w:val="352F3D"/>
          <w:sz w:val="21"/>
          <w:szCs w:val="21"/>
        </w:rPr>
      </w:pPr>
      <w:r>
        <w:rPr>
          <w:rStyle w:val="Strong"/>
          <w:rFonts w:ascii="Segoe UI" w:hAnsi="Segoe UI" w:cs="Segoe UI"/>
          <w:color w:val="352F3D"/>
          <w:sz w:val="21"/>
          <w:szCs w:val="21"/>
        </w:rPr>
        <w:t>Suitable apparel</w:t>
      </w:r>
      <w:r>
        <w:rPr>
          <w:rFonts w:ascii="Segoe UI" w:hAnsi="Segoe UI" w:cs="Segoe UI"/>
          <w:color w:val="352F3D"/>
          <w:sz w:val="21"/>
          <w:szCs w:val="21"/>
        </w:rPr>
        <w:t> (καταστολή, </w:t>
      </w:r>
      <w:r>
        <w:rPr>
          <w:rStyle w:val="Emphasis"/>
          <w:rFonts w:ascii="Segoe UI" w:hAnsi="Segoe UI" w:cs="Segoe UI"/>
          <w:color w:val="352F3D"/>
          <w:sz w:val="21"/>
          <w:szCs w:val="21"/>
        </w:rPr>
        <w:t>katastolē</w:t>
      </w:r>
      <w:r>
        <w:rPr>
          <w:rFonts w:ascii="Segoe UI" w:hAnsi="Segoe UI" w:cs="Segoe UI"/>
          <w:color w:val="352F3D"/>
          <w:sz w:val="21"/>
          <w:szCs w:val="21"/>
        </w:rPr>
        <w:t xml:space="preserve">) </w:t>
      </w:r>
      <w:r w:rsidR="00B24CEB">
        <w:rPr>
          <w:rFonts w:ascii="Segoe UI" w:hAnsi="Segoe UI" w:cs="Segoe UI"/>
          <w:color w:val="352F3D"/>
          <w:sz w:val="21"/>
          <w:szCs w:val="21"/>
        </w:rPr>
        <w:t>-</w:t>
      </w:r>
      <w:r>
        <w:rPr>
          <w:rFonts w:ascii="Segoe UI" w:hAnsi="Segoe UI" w:cs="Segoe UI"/>
          <w:color w:val="352F3D"/>
          <w:sz w:val="21"/>
          <w:szCs w:val="21"/>
        </w:rPr>
        <w:t xml:space="preserve"> respectable presentation. Not merely covering skin, but presentation that does not pull focus to status, sexuality, or wealth.</w:t>
      </w:r>
    </w:p>
    <w:p w14:paraId="0A5450DE" w14:textId="712CBC85" w:rsidR="00A94C8F" w:rsidRDefault="00A94C8F" w:rsidP="00A94C8F">
      <w:pPr>
        <w:pStyle w:val="code-line"/>
        <w:numPr>
          <w:ilvl w:val="0"/>
          <w:numId w:val="65"/>
        </w:numPr>
        <w:rPr>
          <w:rFonts w:ascii="Segoe UI" w:hAnsi="Segoe UI" w:cs="Segoe UI"/>
          <w:color w:val="352F3D"/>
          <w:sz w:val="21"/>
          <w:szCs w:val="21"/>
        </w:rPr>
      </w:pPr>
      <w:r>
        <w:rPr>
          <w:rStyle w:val="Strong"/>
          <w:rFonts w:ascii="Segoe UI" w:hAnsi="Segoe UI" w:cs="Segoe UI"/>
          <w:color w:val="352F3D"/>
          <w:sz w:val="21"/>
          <w:szCs w:val="21"/>
        </w:rPr>
        <w:t>Modesty</w:t>
      </w:r>
      <w:r>
        <w:rPr>
          <w:rFonts w:ascii="Segoe UI" w:hAnsi="Segoe UI" w:cs="Segoe UI"/>
          <w:color w:val="352F3D"/>
          <w:sz w:val="21"/>
          <w:szCs w:val="21"/>
        </w:rPr>
        <w:t> (αἰδώς, </w:t>
      </w:r>
      <w:r>
        <w:rPr>
          <w:rStyle w:val="Emphasis"/>
          <w:rFonts w:ascii="Segoe UI" w:hAnsi="Segoe UI" w:cs="Segoe UI"/>
          <w:color w:val="352F3D"/>
          <w:sz w:val="21"/>
          <w:szCs w:val="21"/>
        </w:rPr>
        <w:t>aidōs</w:t>
      </w:r>
      <w:r>
        <w:rPr>
          <w:rFonts w:ascii="Segoe UI" w:hAnsi="Segoe UI" w:cs="Segoe UI"/>
          <w:color w:val="352F3D"/>
          <w:sz w:val="21"/>
          <w:szCs w:val="21"/>
        </w:rPr>
        <w:t xml:space="preserve">) </w:t>
      </w:r>
      <w:r w:rsidR="00B24CEB">
        <w:rPr>
          <w:rFonts w:ascii="Segoe UI" w:hAnsi="Segoe UI" w:cs="Segoe UI"/>
          <w:color w:val="352F3D"/>
          <w:sz w:val="21"/>
          <w:szCs w:val="21"/>
        </w:rPr>
        <w:t>-</w:t>
      </w:r>
      <w:r>
        <w:rPr>
          <w:rFonts w:ascii="Segoe UI" w:hAnsi="Segoe UI" w:cs="Segoe UI"/>
          <w:color w:val="352F3D"/>
          <w:sz w:val="21"/>
          <w:szCs w:val="21"/>
        </w:rPr>
        <w:t xml:space="preserve"> a sense of propriety, moral awareness of what fits.</w:t>
      </w:r>
    </w:p>
    <w:p w14:paraId="5FAF0CEC" w14:textId="0111A996" w:rsidR="00A94C8F" w:rsidRDefault="00A94C8F" w:rsidP="00A94C8F">
      <w:pPr>
        <w:pStyle w:val="code-line"/>
        <w:numPr>
          <w:ilvl w:val="0"/>
          <w:numId w:val="65"/>
        </w:numPr>
        <w:rPr>
          <w:rFonts w:ascii="Segoe UI" w:hAnsi="Segoe UI" w:cs="Segoe UI"/>
          <w:color w:val="352F3D"/>
          <w:sz w:val="21"/>
          <w:szCs w:val="21"/>
        </w:rPr>
      </w:pPr>
      <w:r>
        <w:rPr>
          <w:rStyle w:val="Strong"/>
          <w:rFonts w:ascii="Segoe UI" w:hAnsi="Segoe UI" w:cs="Segoe UI"/>
          <w:color w:val="352F3D"/>
          <w:sz w:val="21"/>
          <w:szCs w:val="21"/>
        </w:rPr>
        <w:t>Self-control</w:t>
      </w:r>
      <w:r>
        <w:rPr>
          <w:rFonts w:ascii="Segoe UI" w:hAnsi="Segoe UI" w:cs="Segoe UI"/>
          <w:color w:val="352F3D"/>
          <w:sz w:val="21"/>
          <w:szCs w:val="21"/>
        </w:rPr>
        <w:t> (σωφροσύνη, </w:t>
      </w:r>
      <w:r>
        <w:rPr>
          <w:rStyle w:val="Emphasis"/>
          <w:rFonts w:ascii="Segoe UI" w:hAnsi="Segoe UI" w:cs="Segoe UI"/>
          <w:color w:val="352F3D"/>
          <w:sz w:val="21"/>
          <w:szCs w:val="21"/>
        </w:rPr>
        <w:t>sōphrosynē</w:t>
      </w:r>
      <w:r>
        <w:rPr>
          <w:rFonts w:ascii="Segoe UI" w:hAnsi="Segoe UI" w:cs="Segoe UI"/>
          <w:color w:val="352F3D"/>
          <w:sz w:val="21"/>
          <w:szCs w:val="21"/>
        </w:rPr>
        <w:t xml:space="preserve">) </w:t>
      </w:r>
      <w:r w:rsidR="00B24CEB">
        <w:rPr>
          <w:rFonts w:ascii="Segoe UI" w:hAnsi="Segoe UI" w:cs="Segoe UI"/>
          <w:color w:val="352F3D"/>
          <w:sz w:val="21"/>
          <w:szCs w:val="21"/>
        </w:rPr>
        <w:t>-</w:t>
      </w:r>
      <w:r>
        <w:rPr>
          <w:rFonts w:ascii="Segoe UI" w:hAnsi="Segoe UI" w:cs="Segoe UI"/>
          <w:color w:val="352F3D"/>
          <w:sz w:val="21"/>
          <w:szCs w:val="21"/>
        </w:rPr>
        <w:t xml:space="preserve"> sound-minded restraint, a major pastoral theme in the Pastorals.</w:t>
      </w:r>
    </w:p>
    <w:p w14:paraId="598F940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"Not with braided hair and gold" reads like other biblical "not X but Y" constructions. It is not a prohibition of all jewelry. It rejects status display as the engine of identity. The positive alternative is the point: good deeds.</w:t>
      </w:r>
    </w:p>
    <w:p w14:paraId="742E2349" w14:textId="289F52C5"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In 1 Timothy specifically, "good works" recurs as a public marker of genuine faith (5:10; 6:18). </w:t>
      </w:r>
      <w:r w:rsidR="00B24CEB">
        <w:rPr>
          <w:rFonts w:ascii="Segoe UI" w:hAnsi="Segoe UI" w:cs="Segoe UI"/>
          <w:color w:val="352F3D"/>
          <w:sz w:val="21"/>
          <w:szCs w:val="21"/>
        </w:rPr>
        <w:t>So,</w:t>
      </w:r>
      <w:r>
        <w:rPr>
          <w:rFonts w:ascii="Segoe UI" w:hAnsi="Segoe UI" w:cs="Segoe UI"/>
          <w:color w:val="352F3D"/>
          <w:sz w:val="21"/>
          <w:szCs w:val="21"/>
        </w:rPr>
        <w:t xml:space="preserve"> vv. 9–10 concern witness and order.</w:t>
      </w:r>
    </w:p>
    <w:p w14:paraId="290C8C7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These verses use culturally recognizable markers of wealth display. They are the letter's clearest sign that Paul does address socially coded behavior. That observation matters for Part Five.</w:t>
      </w:r>
    </w:p>
    <w:p w14:paraId="6174E507"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4.3 Verse 11: "Let a Woman Learn"</w:t>
      </w:r>
    </w:p>
    <w:p w14:paraId="5C8321CC"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is easily overlooked and should not be. In many ancient settings women were not expected to be taught as disciples. Paul explicitly says: let her learn.</w:t>
      </w:r>
    </w:p>
    <w:p w14:paraId="2DB46A4C"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Two key terms.</w:t>
      </w:r>
    </w:p>
    <w:p w14:paraId="7D5EC19E" w14:textId="4DF829E4"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Quietly</w:t>
      </w:r>
      <w:r>
        <w:rPr>
          <w:rFonts w:ascii="Segoe UI" w:hAnsi="Segoe UI" w:cs="Segoe UI"/>
          <w:color w:val="352F3D"/>
          <w:sz w:val="21"/>
          <w:szCs w:val="21"/>
        </w:rPr>
        <w:t> (ἐν ἡσυχίᾳ, </w:t>
      </w:r>
      <w:r>
        <w:rPr>
          <w:rStyle w:val="Emphasis"/>
          <w:rFonts w:ascii="Segoe UI" w:hAnsi="Segoe UI" w:cs="Segoe UI"/>
          <w:color w:val="352F3D"/>
          <w:sz w:val="21"/>
          <w:szCs w:val="21"/>
        </w:rPr>
        <w:t>en hēsychia</w:t>
      </w:r>
      <w:r>
        <w:rPr>
          <w:rFonts w:ascii="Segoe UI" w:hAnsi="Segoe UI" w:cs="Segoe UI"/>
          <w:color w:val="352F3D"/>
          <w:sz w:val="21"/>
          <w:szCs w:val="21"/>
        </w:rPr>
        <w:t xml:space="preserve">). This often means settledness, calm, non-disruptiveness </w:t>
      </w:r>
      <w:r w:rsidR="00852949">
        <w:rPr>
          <w:rFonts w:ascii="Segoe UI" w:hAnsi="Segoe UI" w:cs="Segoe UI"/>
          <w:color w:val="352F3D"/>
          <w:sz w:val="21"/>
          <w:szCs w:val="21"/>
        </w:rPr>
        <w:t xml:space="preserve">- </w:t>
      </w:r>
      <w:r>
        <w:rPr>
          <w:rFonts w:ascii="Segoe UI" w:hAnsi="Segoe UI" w:cs="Segoe UI"/>
          <w:color w:val="352F3D"/>
          <w:sz w:val="21"/>
          <w:szCs w:val="21"/>
        </w:rPr>
        <w:t>not absolute silence. The same root appears in 2:2 describing a "peaceful and quiet life." The sense is not contentious, not interrupting, not disruptive.</w:t>
      </w:r>
    </w:p>
    <w:p w14:paraId="3736CCB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With all submissiveness</w:t>
      </w:r>
      <w:r>
        <w:rPr>
          <w:rFonts w:ascii="Segoe UI" w:hAnsi="Segoe UI" w:cs="Segoe UI"/>
          <w:color w:val="352F3D"/>
          <w:sz w:val="21"/>
          <w:szCs w:val="21"/>
        </w:rPr>
        <w:t> (ἐν πάσῃ ὑποταγῇ, </w:t>
      </w:r>
      <w:r>
        <w:rPr>
          <w:rStyle w:val="Emphasis"/>
          <w:rFonts w:ascii="Segoe UI" w:hAnsi="Segoe UI" w:cs="Segoe UI"/>
          <w:color w:val="352F3D"/>
          <w:sz w:val="21"/>
          <w:szCs w:val="21"/>
        </w:rPr>
        <w:t>en pasē hypotagē</w:t>
      </w:r>
      <w:r>
        <w:rPr>
          <w:rFonts w:ascii="Segoe UI" w:hAnsi="Segoe UI" w:cs="Segoe UI"/>
          <w:color w:val="352F3D"/>
          <w:sz w:val="21"/>
          <w:szCs w:val="21"/>
        </w:rPr>
        <w:t>). </w:t>
      </w:r>
      <w:r>
        <w:rPr>
          <w:rStyle w:val="Emphasis"/>
          <w:rFonts w:ascii="Segoe UI" w:hAnsi="Segoe UI" w:cs="Segoe UI"/>
          <w:color w:val="352F3D"/>
          <w:sz w:val="21"/>
          <w:szCs w:val="21"/>
        </w:rPr>
        <w:t>Hypotagē</w:t>
      </w:r>
      <w:r>
        <w:rPr>
          <w:rFonts w:ascii="Segoe UI" w:hAnsi="Segoe UI" w:cs="Segoe UI"/>
          <w:color w:val="352F3D"/>
          <w:sz w:val="21"/>
          <w:szCs w:val="21"/>
        </w:rPr>
        <w:t> is orderly submission, typically to right teaching or right authority structures. It does not connote inferiority. In a teaching environment it looks like receiving instruction rather than taking the teacher's seat.</w:t>
      </w:r>
    </w:p>
    <w:p w14:paraId="4C57C412"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Verse 11 sets the posture: women are learners in the gathered setting, in calmness and receptivity.</w:t>
      </w:r>
    </w:p>
    <w:p w14:paraId="5E09C698"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4.4 Verse 12: The Crux</w:t>
      </w:r>
    </w:p>
    <w:p w14:paraId="3814B02D"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Greek:</w:t>
      </w:r>
      <w:r>
        <w:rPr>
          <w:rFonts w:ascii="Segoe UI" w:hAnsi="Segoe UI" w:cs="Segoe UI"/>
          <w:color w:val="352F3D"/>
          <w:sz w:val="21"/>
          <w:szCs w:val="21"/>
        </w:rPr>
        <w:t> διδάσκειν δὲ γυναικὶ οὐκ ἐπιτρέπω οὐδὲ αὐθεντεῖν ἀνδρός, ἀλλ' εἶναι ἐν ἡσυχίᾳ.</w:t>
      </w:r>
    </w:p>
    <w:p w14:paraId="0CB78AF6" w14:textId="6F0868EA"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διδάσκειν (</w:t>
      </w:r>
      <w:r>
        <w:rPr>
          <w:rStyle w:val="Emphasis"/>
          <w:rFonts w:ascii="Segoe UI" w:hAnsi="Segoe UI" w:cs="Segoe UI"/>
          <w:color w:val="352F3D"/>
          <w:sz w:val="21"/>
          <w:szCs w:val="21"/>
        </w:rPr>
        <w:t>didaskein</w:t>
      </w:r>
      <w:r>
        <w:rPr>
          <w:rFonts w:ascii="Segoe UI" w:hAnsi="Segoe UI" w:cs="Segoe UI"/>
          <w:color w:val="352F3D"/>
          <w:sz w:val="21"/>
          <w:szCs w:val="21"/>
        </w:rPr>
        <w:t xml:space="preserve">) </w:t>
      </w:r>
      <w:r w:rsidR="00852949">
        <w:rPr>
          <w:rFonts w:ascii="Segoe UI" w:hAnsi="Segoe UI" w:cs="Segoe UI"/>
          <w:color w:val="352F3D"/>
          <w:sz w:val="21"/>
          <w:szCs w:val="21"/>
        </w:rPr>
        <w:t xml:space="preserve">- </w:t>
      </w:r>
      <w:r>
        <w:rPr>
          <w:rFonts w:ascii="Segoe UI" w:hAnsi="Segoe UI" w:cs="Segoe UI"/>
          <w:color w:val="352F3D"/>
          <w:sz w:val="21"/>
          <w:szCs w:val="21"/>
        </w:rPr>
        <w:t>to teach; the normal word for doctrinal instruction</w:t>
      </w:r>
    </w:p>
    <w:p w14:paraId="785AC652" w14:textId="361BB642"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οὐκ ἐπιτρέπω (</w:t>
      </w:r>
      <w:r>
        <w:rPr>
          <w:rStyle w:val="Emphasis"/>
          <w:rFonts w:ascii="Segoe UI" w:hAnsi="Segoe UI" w:cs="Segoe UI"/>
          <w:color w:val="352F3D"/>
          <w:sz w:val="21"/>
          <w:szCs w:val="21"/>
        </w:rPr>
        <w:t>ouk epitrepō</w:t>
      </w:r>
      <w:r>
        <w:rPr>
          <w:rFonts w:ascii="Segoe UI" w:hAnsi="Segoe UI" w:cs="Segoe UI"/>
          <w:color w:val="352F3D"/>
          <w:sz w:val="21"/>
          <w:szCs w:val="21"/>
        </w:rPr>
        <w:t xml:space="preserve">) </w:t>
      </w:r>
      <w:r w:rsidR="00852949">
        <w:rPr>
          <w:rFonts w:ascii="Segoe UI" w:hAnsi="Segoe UI" w:cs="Segoe UI"/>
          <w:color w:val="352F3D"/>
          <w:sz w:val="21"/>
          <w:szCs w:val="21"/>
        </w:rPr>
        <w:t xml:space="preserve">- </w:t>
      </w:r>
      <w:r>
        <w:rPr>
          <w:rFonts w:ascii="Segoe UI" w:hAnsi="Segoe UI" w:cs="Segoe UI"/>
          <w:color w:val="352F3D"/>
          <w:sz w:val="21"/>
          <w:szCs w:val="21"/>
        </w:rPr>
        <w:t xml:space="preserve"> I do not permit</w:t>
      </w:r>
    </w:p>
    <w:p w14:paraId="4D773884" w14:textId="007E13DB"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οὐδέ (</w:t>
      </w:r>
      <w:r>
        <w:rPr>
          <w:rStyle w:val="Emphasis"/>
          <w:rFonts w:ascii="Segoe UI" w:hAnsi="Segoe UI" w:cs="Segoe UI"/>
          <w:color w:val="352F3D"/>
          <w:sz w:val="21"/>
          <w:szCs w:val="21"/>
        </w:rPr>
        <w:t>oude</w:t>
      </w:r>
      <w:r>
        <w:rPr>
          <w:rFonts w:ascii="Segoe UI" w:hAnsi="Segoe UI" w:cs="Segoe UI"/>
          <w:color w:val="352F3D"/>
          <w:sz w:val="21"/>
          <w:szCs w:val="21"/>
        </w:rPr>
        <w:t xml:space="preserve">) </w:t>
      </w:r>
      <w:r w:rsidR="00852949">
        <w:rPr>
          <w:rFonts w:ascii="Segoe UI" w:hAnsi="Segoe UI" w:cs="Segoe UI"/>
          <w:color w:val="352F3D"/>
          <w:sz w:val="21"/>
          <w:szCs w:val="21"/>
        </w:rPr>
        <w:t xml:space="preserve">- </w:t>
      </w:r>
      <w:r>
        <w:rPr>
          <w:rFonts w:ascii="Segoe UI" w:hAnsi="Segoe UI" w:cs="Segoe UI"/>
          <w:color w:val="352F3D"/>
          <w:sz w:val="21"/>
          <w:szCs w:val="21"/>
        </w:rPr>
        <w:t xml:space="preserve"> and not, nor; links two items</w:t>
      </w:r>
    </w:p>
    <w:p w14:paraId="71BFFC0A" w14:textId="46D990E4"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αὐθεντεῖν (</w:t>
      </w:r>
      <w:r>
        <w:rPr>
          <w:rStyle w:val="Emphasis"/>
          <w:rFonts w:ascii="Segoe UI" w:hAnsi="Segoe UI" w:cs="Segoe UI"/>
          <w:color w:val="352F3D"/>
          <w:sz w:val="21"/>
          <w:szCs w:val="21"/>
        </w:rPr>
        <w:t>authentein</w:t>
      </w:r>
      <w:r>
        <w:rPr>
          <w:rFonts w:ascii="Segoe UI" w:hAnsi="Segoe UI" w:cs="Segoe UI"/>
          <w:color w:val="352F3D"/>
          <w:sz w:val="21"/>
          <w:szCs w:val="21"/>
        </w:rPr>
        <w:t xml:space="preserve">) </w:t>
      </w:r>
      <w:r w:rsidR="00852949">
        <w:rPr>
          <w:rFonts w:ascii="Segoe UI" w:hAnsi="Segoe UI" w:cs="Segoe UI"/>
          <w:color w:val="352F3D"/>
          <w:sz w:val="21"/>
          <w:szCs w:val="21"/>
        </w:rPr>
        <w:t xml:space="preserve">- </w:t>
      </w:r>
      <w:r>
        <w:rPr>
          <w:rFonts w:ascii="Segoe UI" w:hAnsi="Segoe UI" w:cs="Segoe UI"/>
          <w:color w:val="352F3D"/>
          <w:sz w:val="21"/>
          <w:szCs w:val="21"/>
        </w:rPr>
        <w:t xml:space="preserve"> the disputed word</w:t>
      </w:r>
      <w:r w:rsidR="008A2ECE">
        <w:rPr>
          <w:rFonts w:ascii="Segoe UI" w:hAnsi="Segoe UI" w:cs="Segoe UI"/>
          <w:color w:val="352F3D"/>
          <w:sz w:val="21"/>
          <w:szCs w:val="21"/>
        </w:rPr>
        <w:t xml:space="preserve"> </w:t>
      </w:r>
    </w:p>
    <w:p w14:paraId="6D34EE89" w14:textId="4AF0523B"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ἀνδρός (</w:t>
      </w:r>
      <w:r>
        <w:rPr>
          <w:rStyle w:val="Emphasis"/>
          <w:rFonts w:ascii="Segoe UI" w:hAnsi="Segoe UI" w:cs="Segoe UI"/>
          <w:color w:val="352F3D"/>
          <w:sz w:val="21"/>
          <w:szCs w:val="21"/>
        </w:rPr>
        <w:t>andros</w:t>
      </w:r>
      <w:r>
        <w:rPr>
          <w:rFonts w:ascii="Segoe UI" w:hAnsi="Segoe UI" w:cs="Segoe UI"/>
          <w:color w:val="352F3D"/>
          <w:sz w:val="21"/>
          <w:szCs w:val="21"/>
        </w:rPr>
        <w:t xml:space="preserve">) </w:t>
      </w:r>
      <w:r w:rsidR="00852949">
        <w:rPr>
          <w:rFonts w:ascii="Segoe UI" w:hAnsi="Segoe UI" w:cs="Segoe UI"/>
          <w:color w:val="352F3D"/>
          <w:sz w:val="21"/>
          <w:szCs w:val="21"/>
        </w:rPr>
        <w:t xml:space="preserve">- </w:t>
      </w:r>
      <w:r>
        <w:rPr>
          <w:rFonts w:ascii="Segoe UI" w:hAnsi="Segoe UI" w:cs="Segoe UI"/>
          <w:color w:val="352F3D"/>
          <w:sz w:val="21"/>
          <w:szCs w:val="21"/>
        </w:rPr>
        <w:t>man or husband; the adult male term</w:t>
      </w:r>
    </w:p>
    <w:p w14:paraId="22AFF4FC" w14:textId="1B0F4275" w:rsidR="00A94C8F" w:rsidRDefault="00A94C8F" w:rsidP="00A94C8F">
      <w:pPr>
        <w:pStyle w:val="code-line"/>
        <w:numPr>
          <w:ilvl w:val="0"/>
          <w:numId w:val="66"/>
        </w:numPr>
        <w:rPr>
          <w:rFonts w:ascii="Segoe UI" w:hAnsi="Segoe UI" w:cs="Segoe UI"/>
          <w:color w:val="352F3D"/>
          <w:sz w:val="21"/>
          <w:szCs w:val="21"/>
        </w:rPr>
      </w:pPr>
      <w:r>
        <w:rPr>
          <w:rFonts w:ascii="Segoe UI" w:hAnsi="Segoe UI" w:cs="Segoe UI"/>
          <w:color w:val="352F3D"/>
          <w:sz w:val="21"/>
          <w:szCs w:val="21"/>
        </w:rPr>
        <w:t xml:space="preserve">ἀλλ' εἶναι ἐν ἡσυχίᾳ </w:t>
      </w:r>
      <w:r w:rsidR="00852949">
        <w:rPr>
          <w:rFonts w:ascii="Segoe UI" w:hAnsi="Segoe UI" w:cs="Segoe UI"/>
          <w:color w:val="352F3D"/>
          <w:sz w:val="21"/>
          <w:szCs w:val="21"/>
        </w:rPr>
        <w:t xml:space="preserve">- </w:t>
      </w:r>
      <w:r>
        <w:rPr>
          <w:rFonts w:ascii="Segoe UI" w:hAnsi="Segoe UI" w:cs="Segoe UI"/>
          <w:color w:val="352F3D"/>
          <w:sz w:val="21"/>
          <w:szCs w:val="21"/>
        </w:rPr>
        <w:t xml:space="preserve"> but to be in quietness, returning to v.11's posture</w:t>
      </w:r>
    </w:p>
    <w:p w14:paraId="53561AB9" w14:textId="77777777" w:rsidR="00A94C8F" w:rsidRDefault="00A94C8F" w:rsidP="00A94C8F">
      <w:pPr>
        <w:pStyle w:val="Heading3"/>
        <w:spacing w:before="360" w:after="240"/>
        <w:rPr>
          <w:rFonts w:ascii="Segoe UI" w:hAnsi="Segoe UI" w:cs="Segoe UI"/>
          <w:color w:val="352F3D"/>
          <w:sz w:val="30"/>
          <w:szCs w:val="30"/>
        </w:rPr>
      </w:pPr>
      <w:r>
        <w:rPr>
          <w:rFonts w:ascii="Segoe UI" w:hAnsi="Segoe UI" w:cs="Segoe UI"/>
          <w:color w:val="352F3D"/>
          <w:sz w:val="30"/>
          <w:szCs w:val="30"/>
        </w:rPr>
        <w:lastRenderedPageBreak/>
        <w:t>How </w:t>
      </w:r>
      <w:r>
        <w:rPr>
          <w:rStyle w:val="Emphasis"/>
          <w:rFonts w:ascii="Segoe UI" w:hAnsi="Segoe UI" w:cs="Segoe UI"/>
          <w:color w:val="352F3D"/>
          <w:sz w:val="30"/>
          <w:szCs w:val="30"/>
        </w:rPr>
        <w:t>didaskein</w:t>
      </w:r>
      <w:r>
        <w:rPr>
          <w:rFonts w:ascii="Segoe UI" w:hAnsi="Segoe UI" w:cs="Segoe UI"/>
          <w:color w:val="352F3D"/>
          <w:sz w:val="30"/>
          <w:szCs w:val="30"/>
        </w:rPr>
        <w:t> functions in this letter</w:t>
      </w:r>
    </w:p>
    <w:p w14:paraId="294C075F"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"Teach" is not a casual word here. Trace the pattern:</w:t>
      </w:r>
    </w:p>
    <w:p w14:paraId="64C38B05" w14:textId="12B26BA7" w:rsidR="00A94C8F" w:rsidRDefault="00A94C8F" w:rsidP="00A94C8F">
      <w:pPr>
        <w:pStyle w:val="code-line"/>
        <w:numPr>
          <w:ilvl w:val="0"/>
          <w:numId w:val="67"/>
        </w:numPr>
        <w:rPr>
          <w:rFonts w:ascii="Segoe UI" w:hAnsi="Segoe UI" w:cs="Segoe UI"/>
          <w:color w:val="352F3D"/>
          <w:sz w:val="21"/>
          <w:szCs w:val="21"/>
        </w:rPr>
      </w:pPr>
      <w:r>
        <w:rPr>
          <w:rFonts w:ascii="Segoe UI" w:hAnsi="Segoe UI" w:cs="Segoe UI"/>
          <w:color w:val="352F3D"/>
          <w:sz w:val="21"/>
          <w:szCs w:val="21"/>
        </w:rPr>
        <w:t xml:space="preserve">1:3 </w:t>
      </w:r>
      <w:r w:rsidR="00852949">
        <w:rPr>
          <w:rFonts w:ascii="Segoe UI" w:hAnsi="Segoe UI" w:cs="Segoe UI"/>
          <w:color w:val="352F3D"/>
          <w:sz w:val="21"/>
          <w:szCs w:val="21"/>
        </w:rPr>
        <w:t>-</w:t>
      </w:r>
      <w:r>
        <w:rPr>
          <w:rFonts w:ascii="Segoe UI" w:hAnsi="Segoe UI" w:cs="Segoe UI"/>
          <w:color w:val="352F3D"/>
          <w:sz w:val="21"/>
          <w:szCs w:val="21"/>
        </w:rPr>
        <w:t xml:space="preserve"> command certain people not to teach different doctrine</w:t>
      </w:r>
    </w:p>
    <w:p w14:paraId="3CB931E8" w14:textId="0BE982D5" w:rsidR="00A94C8F" w:rsidRDefault="00A94C8F" w:rsidP="00A94C8F">
      <w:pPr>
        <w:pStyle w:val="code-line"/>
        <w:numPr>
          <w:ilvl w:val="0"/>
          <w:numId w:val="67"/>
        </w:numPr>
        <w:rPr>
          <w:rFonts w:ascii="Segoe UI" w:hAnsi="Segoe UI" w:cs="Segoe UI"/>
          <w:color w:val="352F3D"/>
          <w:sz w:val="21"/>
          <w:szCs w:val="21"/>
        </w:rPr>
      </w:pPr>
      <w:r>
        <w:rPr>
          <w:rFonts w:ascii="Segoe UI" w:hAnsi="Segoe UI" w:cs="Segoe UI"/>
          <w:color w:val="352F3D"/>
          <w:sz w:val="21"/>
          <w:szCs w:val="21"/>
        </w:rPr>
        <w:t xml:space="preserve">1:7 </w:t>
      </w:r>
      <w:r w:rsidR="00852949">
        <w:rPr>
          <w:rFonts w:ascii="Segoe UI" w:hAnsi="Segoe UI" w:cs="Segoe UI"/>
          <w:color w:val="352F3D"/>
          <w:sz w:val="21"/>
          <w:szCs w:val="21"/>
        </w:rPr>
        <w:t>-</w:t>
      </w:r>
      <w:r>
        <w:rPr>
          <w:rFonts w:ascii="Segoe UI" w:hAnsi="Segoe UI" w:cs="Segoe UI"/>
          <w:color w:val="352F3D"/>
          <w:sz w:val="21"/>
          <w:szCs w:val="21"/>
        </w:rPr>
        <w:t xml:space="preserve"> they want to be teachers of the law</w:t>
      </w:r>
    </w:p>
    <w:p w14:paraId="27BC6B1F" w14:textId="5A38D7EC" w:rsidR="00A94C8F" w:rsidRDefault="00A94C8F" w:rsidP="00A94C8F">
      <w:pPr>
        <w:pStyle w:val="code-line"/>
        <w:numPr>
          <w:ilvl w:val="0"/>
          <w:numId w:val="67"/>
        </w:numPr>
        <w:rPr>
          <w:rFonts w:ascii="Segoe UI" w:hAnsi="Segoe UI" w:cs="Segoe UI"/>
          <w:color w:val="352F3D"/>
          <w:sz w:val="21"/>
          <w:szCs w:val="21"/>
        </w:rPr>
      </w:pPr>
      <w:r>
        <w:rPr>
          <w:rFonts w:ascii="Segoe UI" w:hAnsi="Segoe UI" w:cs="Segoe UI"/>
          <w:color w:val="352F3D"/>
          <w:sz w:val="21"/>
          <w:szCs w:val="21"/>
        </w:rPr>
        <w:t xml:space="preserve">4:11 </w:t>
      </w:r>
      <w:r w:rsidR="00852949">
        <w:rPr>
          <w:rFonts w:ascii="Segoe UI" w:hAnsi="Segoe UI" w:cs="Segoe UI"/>
          <w:color w:val="352F3D"/>
          <w:sz w:val="21"/>
          <w:szCs w:val="21"/>
        </w:rPr>
        <w:t>-</w:t>
      </w:r>
      <w:r>
        <w:rPr>
          <w:rFonts w:ascii="Segoe UI" w:hAnsi="Segoe UI" w:cs="Segoe UI"/>
          <w:color w:val="352F3D"/>
          <w:sz w:val="21"/>
          <w:szCs w:val="21"/>
        </w:rPr>
        <w:t xml:space="preserve"> command and teach these things</w:t>
      </w:r>
    </w:p>
    <w:p w14:paraId="026655F0" w14:textId="5DFB173B" w:rsidR="00A94C8F" w:rsidRDefault="00A94C8F" w:rsidP="00A94C8F">
      <w:pPr>
        <w:pStyle w:val="code-line"/>
        <w:numPr>
          <w:ilvl w:val="0"/>
          <w:numId w:val="67"/>
        </w:numPr>
        <w:rPr>
          <w:rFonts w:ascii="Segoe UI" w:hAnsi="Segoe UI" w:cs="Segoe UI"/>
          <w:color w:val="352F3D"/>
          <w:sz w:val="21"/>
          <w:szCs w:val="21"/>
        </w:rPr>
      </w:pPr>
      <w:r>
        <w:rPr>
          <w:rFonts w:ascii="Segoe UI" w:hAnsi="Segoe UI" w:cs="Segoe UI"/>
          <w:color w:val="352F3D"/>
          <w:sz w:val="21"/>
          <w:szCs w:val="21"/>
        </w:rPr>
        <w:t xml:space="preserve">6:2–3 </w:t>
      </w:r>
      <w:r w:rsidR="00852949">
        <w:rPr>
          <w:rFonts w:ascii="Segoe UI" w:hAnsi="Segoe UI" w:cs="Segoe UI"/>
          <w:color w:val="352F3D"/>
          <w:sz w:val="21"/>
          <w:szCs w:val="21"/>
        </w:rPr>
        <w:t>-</w:t>
      </w:r>
      <w:r>
        <w:rPr>
          <w:rFonts w:ascii="Segoe UI" w:hAnsi="Segoe UI" w:cs="Segoe UI"/>
          <w:color w:val="352F3D"/>
          <w:sz w:val="21"/>
          <w:szCs w:val="21"/>
        </w:rPr>
        <w:t xml:space="preserve"> if anyone teaches otherwise and does not agree with sound words</w:t>
      </w:r>
    </w:p>
    <w:p w14:paraId="2AFB8B37"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In every case it refers to doctrinal instruction, transmission of authoritative truth, correction of error, and the shaping of belief and behavior. It is not informal Bible conversation, not testimony, not prophecy. It is doctrinal governance.</w:t>
      </w:r>
    </w:p>
    <w:p w14:paraId="0F188B36" w14:textId="02571C12"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Two observations follow. First, this supports reading 2:12 as concerning the governing teaching function. Second </w:t>
      </w:r>
      <w:r w:rsidR="00963B56">
        <w:rPr>
          <w:rFonts w:ascii="Segoe UI" w:hAnsi="Segoe UI" w:cs="Segoe UI"/>
          <w:color w:val="352F3D"/>
          <w:sz w:val="21"/>
          <w:szCs w:val="21"/>
        </w:rPr>
        <w:t xml:space="preserve">- </w:t>
      </w:r>
      <w:r>
        <w:rPr>
          <w:rFonts w:ascii="Segoe UI" w:hAnsi="Segoe UI" w:cs="Segoe UI"/>
          <w:color w:val="352F3D"/>
          <w:sz w:val="21"/>
          <w:szCs w:val="21"/>
        </w:rPr>
        <w:t xml:space="preserve">and this matters for Part Five </w:t>
      </w:r>
      <w:r w:rsidR="00963B56">
        <w:rPr>
          <w:rFonts w:ascii="Segoe UI" w:hAnsi="Segoe UI" w:cs="Segoe UI"/>
          <w:color w:val="352F3D"/>
          <w:sz w:val="21"/>
          <w:szCs w:val="21"/>
        </w:rPr>
        <w:t>-</w:t>
      </w:r>
      <w:r>
        <w:rPr>
          <w:rFonts w:ascii="Segoe UI" w:hAnsi="Segoe UI" w:cs="Segoe UI"/>
          <w:color w:val="352F3D"/>
          <w:sz w:val="21"/>
          <w:szCs w:val="21"/>
        </w:rPr>
        <w:t> </w:t>
      </w:r>
      <w:r>
        <w:rPr>
          <w:rStyle w:val="Emphasis"/>
          <w:rFonts w:ascii="Segoe UI" w:hAnsi="Segoe UI" w:cs="Segoe UI"/>
          <w:color w:val="352F3D"/>
          <w:sz w:val="21"/>
          <w:szCs w:val="21"/>
        </w:rPr>
        <w:t>didaskein</w:t>
      </w:r>
      <w:r>
        <w:rPr>
          <w:rFonts w:ascii="Segoe UI" w:hAnsi="Segoe UI" w:cs="Segoe UI"/>
          <w:color w:val="352F3D"/>
          <w:sz w:val="21"/>
          <w:szCs w:val="21"/>
        </w:rPr>
        <w:t> in this letter is consistently a </w:t>
      </w:r>
      <w:r>
        <w:rPr>
          <w:rStyle w:val="Strong"/>
          <w:rFonts w:ascii="Segoe UI" w:hAnsi="Segoe UI" w:cs="Segoe UI"/>
          <w:color w:val="352F3D"/>
          <w:sz w:val="21"/>
          <w:szCs w:val="21"/>
        </w:rPr>
        <w:t>good</w:t>
      </w:r>
      <w:r>
        <w:rPr>
          <w:rFonts w:ascii="Segoe UI" w:hAnsi="Segoe UI" w:cs="Segoe UI"/>
          <w:color w:val="352F3D"/>
          <w:sz w:val="21"/>
          <w:szCs w:val="21"/>
        </w:rPr>
        <w:t> activity, the very thing Timothy is commanded to do.</w:t>
      </w:r>
    </w:p>
    <w:p w14:paraId="3BA15303" w14:textId="77777777" w:rsidR="00A94C8F" w:rsidRDefault="00A94C8F" w:rsidP="00A94C8F">
      <w:pPr>
        <w:pStyle w:val="Heading3"/>
        <w:spacing w:before="360" w:after="240"/>
        <w:rPr>
          <w:rFonts w:ascii="Segoe UI" w:hAnsi="Segoe UI" w:cs="Segoe UI"/>
          <w:color w:val="352F3D"/>
          <w:sz w:val="30"/>
          <w:szCs w:val="30"/>
        </w:rPr>
      </w:pPr>
      <w:r>
        <w:rPr>
          <w:rFonts w:ascii="Segoe UI" w:hAnsi="Segoe UI" w:cs="Segoe UI"/>
          <w:color w:val="352F3D"/>
          <w:sz w:val="30"/>
          <w:szCs w:val="30"/>
        </w:rPr>
        <w:t>What does </w:t>
      </w:r>
      <w:r>
        <w:rPr>
          <w:rStyle w:val="Emphasis"/>
          <w:rFonts w:ascii="Segoe UI" w:hAnsi="Segoe UI" w:cs="Segoe UI"/>
          <w:color w:val="352F3D"/>
          <w:sz w:val="30"/>
          <w:szCs w:val="30"/>
        </w:rPr>
        <w:t>authentein</w:t>
      </w:r>
      <w:r>
        <w:rPr>
          <w:rFonts w:ascii="Segoe UI" w:hAnsi="Segoe UI" w:cs="Segoe UI"/>
          <w:color w:val="352F3D"/>
          <w:sz w:val="30"/>
          <w:szCs w:val="30"/>
        </w:rPr>
        <w:t> mean?</w:t>
      </w:r>
    </w:p>
    <w:p w14:paraId="36FA5D00" w14:textId="43AA4848"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The verb occurs </w:t>
      </w:r>
      <w:r w:rsidR="004041F7">
        <w:rPr>
          <w:rFonts w:ascii="Segoe UI" w:hAnsi="Segoe UI" w:cs="Segoe UI"/>
          <w:color w:val="352F3D"/>
          <w:sz w:val="21"/>
          <w:szCs w:val="21"/>
        </w:rPr>
        <w:t xml:space="preserve">just </w:t>
      </w:r>
      <w:r>
        <w:rPr>
          <w:rFonts w:ascii="Segoe UI" w:hAnsi="Segoe UI" w:cs="Segoe UI"/>
          <w:color w:val="352F3D"/>
          <w:sz w:val="21"/>
          <w:szCs w:val="21"/>
        </w:rPr>
        <w:t xml:space="preserve">once in the New Testament. In broader </w:t>
      </w:r>
      <w:r w:rsidR="004041F7">
        <w:rPr>
          <w:rFonts w:ascii="Segoe UI" w:hAnsi="Segoe UI" w:cs="Segoe UI"/>
          <w:color w:val="352F3D"/>
          <w:sz w:val="21"/>
          <w:szCs w:val="21"/>
        </w:rPr>
        <w:t xml:space="preserve">period </w:t>
      </w:r>
      <w:r>
        <w:rPr>
          <w:rFonts w:ascii="Segoe UI" w:hAnsi="Segoe UI" w:cs="Segoe UI"/>
          <w:color w:val="352F3D"/>
          <w:sz w:val="21"/>
          <w:szCs w:val="21"/>
        </w:rPr>
        <w:t>Greek the discussed range includes:</w:t>
      </w:r>
    </w:p>
    <w:p w14:paraId="3DCEAAB5" w14:textId="77777777" w:rsidR="00A94C8F" w:rsidRDefault="00A94C8F" w:rsidP="00A94C8F">
      <w:pPr>
        <w:pStyle w:val="code-line"/>
        <w:numPr>
          <w:ilvl w:val="0"/>
          <w:numId w:val="68"/>
        </w:numPr>
        <w:rPr>
          <w:rFonts w:ascii="Segoe UI" w:hAnsi="Segoe UI" w:cs="Segoe UI"/>
          <w:color w:val="352F3D"/>
          <w:sz w:val="21"/>
          <w:szCs w:val="21"/>
        </w:rPr>
      </w:pPr>
      <w:r>
        <w:rPr>
          <w:rFonts w:ascii="Segoe UI" w:hAnsi="Segoe UI" w:cs="Segoe UI"/>
          <w:color w:val="352F3D"/>
          <w:sz w:val="21"/>
          <w:szCs w:val="21"/>
        </w:rPr>
        <w:t>to exercise authority (neutral)</w:t>
      </w:r>
    </w:p>
    <w:p w14:paraId="3C77B633" w14:textId="77777777" w:rsidR="00A94C8F" w:rsidRDefault="00A94C8F" w:rsidP="00A94C8F">
      <w:pPr>
        <w:pStyle w:val="code-line"/>
        <w:numPr>
          <w:ilvl w:val="0"/>
          <w:numId w:val="68"/>
        </w:numPr>
        <w:rPr>
          <w:rFonts w:ascii="Segoe UI" w:hAnsi="Segoe UI" w:cs="Segoe UI"/>
          <w:color w:val="352F3D"/>
          <w:sz w:val="21"/>
          <w:szCs w:val="21"/>
        </w:rPr>
      </w:pPr>
      <w:r>
        <w:rPr>
          <w:rFonts w:ascii="Segoe UI" w:hAnsi="Segoe UI" w:cs="Segoe UI"/>
          <w:color w:val="352F3D"/>
          <w:sz w:val="21"/>
          <w:szCs w:val="21"/>
        </w:rPr>
        <w:t>to domineer, control, act autocratically (negative)</w:t>
      </w:r>
    </w:p>
    <w:p w14:paraId="5795913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 lexicon summary often runs "to assume a stance of independent authority," sometimes with a nuance of dominating. The word is not unknowable. Its nuance here is debated, and Part Five addresses that debate directly rather than leaving it open.</w:t>
      </w:r>
    </w:p>
    <w:p w14:paraId="1FF04718" w14:textId="77777777" w:rsidR="00A94C8F" w:rsidRDefault="00A94C8F" w:rsidP="00A94C8F">
      <w:pPr>
        <w:pStyle w:val="Heading3"/>
        <w:spacing w:before="360" w:after="240"/>
        <w:rPr>
          <w:rFonts w:ascii="Segoe UI" w:hAnsi="Segoe UI" w:cs="Segoe UI"/>
          <w:color w:val="352F3D"/>
          <w:sz w:val="30"/>
          <w:szCs w:val="30"/>
        </w:rPr>
      </w:pPr>
      <w:r>
        <w:rPr>
          <w:rFonts w:ascii="Segoe UI" w:hAnsi="Segoe UI" w:cs="Segoe UI"/>
          <w:color w:val="352F3D"/>
          <w:sz w:val="30"/>
          <w:szCs w:val="30"/>
        </w:rPr>
        <w:t>The structure of the sentence</w:t>
      </w:r>
    </w:p>
    <w:p w14:paraId="5FE416F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states one prohibition governing two infinitives joined by </w:t>
      </w:r>
      <w:r>
        <w:rPr>
          <w:rStyle w:val="Emphasis"/>
          <w:rFonts w:ascii="Segoe UI" w:hAnsi="Segoe UI" w:cs="Segoe UI"/>
          <w:color w:val="352F3D"/>
          <w:sz w:val="21"/>
          <w:szCs w:val="21"/>
        </w:rPr>
        <w:t>oude</w:t>
      </w:r>
      <w:r>
        <w:rPr>
          <w:rFonts w:ascii="Segoe UI" w:hAnsi="Segoe UI" w:cs="Segoe UI"/>
          <w:color w:val="352F3D"/>
          <w:sz w:val="21"/>
          <w:szCs w:val="21"/>
        </w:rPr>
        <w:t>, then gives a contrasting directive:</w:t>
      </w:r>
    </w:p>
    <w:p w14:paraId="4C520B39" w14:textId="77777777" w:rsidR="00A94C8F" w:rsidRPr="00202124" w:rsidRDefault="00A94C8F" w:rsidP="00202124">
      <w:pPr>
        <w:pStyle w:val="code-line"/>
        <w:spacing w:before="0" w:beforeAutospacing="0" w:after="240" w:afterAutospacing="0"/>
        <w:ind w:left="720"/>
        <w:rPr>
          <w:rFonts w:ascii="Segoe UI" w:hAnsi="Segoe UI" w:cs="Segoe UI"/>
          <w:i/>
          <w:iCs/>
          <w:color w:val="352F3D"/>
          <w:sz w:val="21"/>
          <w:szCs w:val="21"/>
        </w:rPr>
      </w:pPr>
      <w:r w:rsidRPr="00202124">
        <w:rPr>
          <w:rFonts w:ascii="Segoe UI" w:hAnsi="Segoe UI" w:cs="Segoe UI"/>
          <w:i/>
          <w:iCs/>
          <w:color w:val="352F3D"/>
          <w:sz w:val="21"/>
          <w:szCs w:val="21"/>
        </w:rPr>
        <w:t>I do not permit a woman </w:t>
      </w:r>
      <w:r w:rsidRPr="00202124">
        <w:rPr>
          <w:rStyle w:val="Strong"/>
          <w:rFonts w:ascii="Segoe UI" w:hAnsi="Segoe UI" w:cs="Segoe UI"/>
          <w:i/>
          <w:iCs/>
          <w:color w:val="352F3D"/>
          <w:sz w:val="21"/>
          <w:szCs w:val="21"/>
        </w:rPr>
        <w:t>to teach</w:t>
      </w:r>
      <w:r w:rsidRPr="00202124">
        <w:rPr>
          <w:rFonts w:ascii="Segoe UI" w:hAnsi="Segoe UI" w:cs="Segoe UI"/>
          <w:i/>
          <w:iCs/>
          <w:color w:val="352F3D"/>
          <w:sz w:val="21"/>
          <w:szCs w:val="21"/>
        </w:rPr>
        <w:t> nor </w:t>
      </w:r>
      <w:r w:rsidRPr="00202124">
        <w:rPr>
          <w:rStyle w:val="Strong"/>
          <w:rFonts w:ascii="Segoe UI" w:hAnsi="Segoe UI" w:cs="Segoe UI"/>
          <w:i/>
          <w:iCs/>
          <w:color w:val="352F3D"/>
          <w:sz w:val="21"/>
          <w:szCs w:val="21"/>
        </w:rPr>
        <w:t>to authentein</w:t>
      </w:r>
      <w:r w:rsidRPr="00202124">
        <w:rPr>
          <w:rFonts w:ascii="Segoe UI" w:hAnsi="Segoe UI" w:cs="Segoe UI"/>
          <w:i/>
          <w:iCs/>
          <w:color w:val="352F3D"/>
          <w:sz w:val="21"/>
          <w:szCs w:val="21"/>
        </w:rPr>
        <w:t> a man... </w:t>
      </w:r>
      <w:r w:rsidRPr="00202124">
        <w:rPr>
          <w:rStyle w:val="Strong"/>
          <w:rFonts w:ascii="Segoe UI" w:hAnsi="Segoe UI" w:cs="Segoe UI"/>
          <w:i/>
          <w:iCs/>
          <w:color w:val="352F3D"/>
          <w:sz w:val="21"/>
          <w:szCs w:val="21"/>
        </w:rPr>
        <w:t>but</w:t>
      </w:r>
      <w:r w:rsidRPr="00202124">
        <w:rPr>
          <w:rFonts w:ascii="Segoe UI" w:hAnsi="Segoe UI" w:cs="Segoe UI"/>
          <w:i/>
          <w:iCs/>
          <w:color w:val="352F3D"/>
          <w:sz w:val="21"/>
          <w:szCs w:val="21"/>
        </w:rPr>
        <w:t> to be in quietness.</w:t>
      </w:r>
    </w:p>
    <w:p w14:paraId="02856F77"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4.5 Verses 13–14: Paul's Stated Reasons</w:t>
      </w:r>
    </w:p>
    <w:p w14:paraId="5411CEF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For Adam was formed first and then Eve. And Adam was not deceived, but the woman, because she was fully deceived, fell into transgression.</w:t>
      </w:r>
    </w:p>
    <w:p w14:paraId="4A3DD66A" w14:textId="746EBA5A"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Verse 13</w:t>
      </w:r>
      <w:r>
        <w:rPr>
          <w:rFonts w:ascii="Segoe UI" w:hAnsi="Segoe UI" w:cs="Segoe UI"/>
          <w:color w:val="352F3D"/>
          <w:sz w:val="21"/>
          <w:szCs w:val="21"/>
        </w:rPr>
        <w:t> appeals to creation order (Genesis 2). This is a weighty move. Paul is not saying "here is what works in Ephesus." He is saying the created pattern matters.</w:t>
      </w:r>
    </w:p>
    <w:p w14:paraId="41577494" w14:textId="26485AF6"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The timing is significant. Adam formed first, then Eve </w:t>
      </w:r>
      <w:r w:rsidR="00202124">
        <w:rPr>
          <w:rFonts w:ascii="Segoe UI" w:hAnsi="Segoe UI" w:cs="Segoe UI"/>
          <w:color w:val="352F3D"/>
          <w:sz w:val="21"/>
          <w:szCs w:val="21"/>
        </w:rPr>
        <w:t>-</w:t>
      </w:r>
      <w:r>
        <w:rPr>
          <w:rFonts w:ascii="Segoe UI" w:hAnsi="Segoe UI" w:cs="Segoe UI"/>
          <w:color w:val="352F3D"/>
          <w:sz w:val="21"/>
          <w:szCs w:val="21"/>
        </w:rPr>
        <w:t xml:space="preserve"> this precedes the fall. It is design, not curse. Nothing established before sin entered can be read as a consequence of sin awaiting redemption.</w:t>
      </w:r>
    </w:p>
    <w:p w14:paraId="532023F6" w14:textId="4D5D09E9"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Verse 14</w:t>
      </w:r>
      <w:r>
        <w:rPr>
          <w:rFonts w:ascii="Segoe UI" w:hAnsi="Segoe UI" w:cs="Segoe UI"/>
          <w:color w:val="352F3D"/>
          <w:sz w:val="21"/>
          <w:szCs w:val="21"/>
        </w:rPr>
        <w:t xml:space="preserve"> is often mishandled. Paul is not saying women are more gullible in general. He is describing the Genesis narrative: Eve is deceived by the serpent; Adam follows into transgression. Elsewhere Paul assigns Adam the primary responsibility </w:t>
      </w:r>
      <w:r w:rsidR="00202124">
        <w:rPr>
          <w:rFonts w:ascii="Segoe UI" w:hAnsi="Segoe UI" w:cs="Segoe UI"/>
          <w:color w:val="352F3D"/>
          <w:sz w:val="21"/>
          <w:szCs w:val="21"/>
        </w:rPr>
        <w:t xml:space="preserve">- </w:t>
      </w:r>
      <w:r>
        <w:rPr>
          <w:rFonts w:ascii="Segoe UI" w:hAnsi="Segoe UI" w:cs="Segoe UI"/>
          <w:color w:val="352F3D"/>
          <w:sz w:val="21"/>
          <w:szCs w:val="21"/>
        </w:rPr>
        <w:t>"through one man sin entered into the world" (Romans 5:12). Adam was not deceived; he transgressed knowingly, which Scripture treats as graver.</w:t>
      </w:r>
    </w:p>
    <w:p w14:paraId="1310782D" w14:textId="5A4B8C59"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Inside 1 Timothy, deception is a live threat (4:1). </w:t>
      </w:r>
      <w:r w:rsidR="00202124">
        <w:rPr>
          <w:rFonts w:ascii="Segoe UI" w:hAnsi="Segoe UI" w:cs="Segoe UI"/>
          <w:color w:val="352F3D"/>
          <w:sz w:val="21"/>
          <w:szCs w:val="21"/>
        </w:rPr>
        <w:t>So,</w:t>
      </w:r>
      <w:r>
        <w:rPr>
          <w:rFonts w:ascii="Segoe UI" w:hAnsi="Segoe UI" w:cs="Segoe UI"/>
          <w:color w:val="352F3D"/>
          <w:sz w:val="21"/>
          <w:szCs w:val="21"/>
        </w:rPr>
        <w:t xml:space="preserve"> Paul connects then and now: deception led to ruin in the garden, and deception is wrecking people in Ephesus. The church must not replay patterns that invite doctrinal disaster.</w:t>
      </w:r>
    </w:p>
    <w:p w14:paraId="79DF07B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key point for interpretation: </w:t>
      </w:r>
      <w:r>
        <w:rPr>
          <w:rStyle w:val="Strong"/>
          <w:rFonts w:ascii="Segoe UI" w:hAnsi="Segoe UI" w:cs="Segoe UI"/>
          <w:color w:val="352F3D"/>
          <w:sz w:val="21"/>
          <w:szCs w:val="21"/>
        </w:rPr>
        <w:t>whatever one does with these premises, they are Genesis premises, not Ephesian ones.</w:t>
      </w:r>
    </w:p>
    <w:p w14:paraId="7C3838F1"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lastRenderedPageBreak/>
        <w:t>4.6 Verse 15: "Saved Through Childbearing"</w:t>
      </w:r>
    </w:p>
    <w:p w14:paraId="13ED759B"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But she will be delivered through childbearing, if she continues in faith and love and holiness with self-control.</w:t>
      </w:r>
    </w:p>
    <w:p w14:paraId="17C57F1F"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verb (σωθήσεται, </w:t>
      </w:r>
      <w:r>
        <w:rPr>
          <w:rStyle w:val="Emphasis"/>
          <w:rFonts w:ascii="Segoe UI" w:hAnsi="Segoe UI" w:cs="Segoe UI"/>
          <w:color w:val="352F3D"/>
          <w:sz w:val="21"/>
          <w:szCs w:val="21"/>
        </w:rPr>
        <w:t>sōthēsetai</w:t>
      </w:r>
      <w:r>
        <w:rPr>
          <w:rFonts w:ascii="Segoe UI" w:hAnsi="Segoe UI" w:cs="Segoe UI"/>
          <w:color w:val="352F3D"/>
          <w:sz w:val="21"/>
          <w:szCs w:val="21"/>
        </w:rPr>
        <w:t>) can mean "be saved" in the full sense or "be preserved/delivered," depending on context. "Through childbearing" (διὰ τῆς τεκνογονίας) is strange if read as women earning salvation by bearing children, which would contradict Paul everywhere.</w:t>
      </w:r>
    </w:p>
    <w:p w14:paraId="163CB9BB" w14:textId="13DF2DF4" w:rsidR="00A94C8F" w:rsidRDefault="008A2ECE"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S</w:t>
      </w:r>
      <w:r w:rsidR="00A94C8F">
        <w:rPr>
          <w:rStyle w:val="Strong"/>
          <w:rFonts w:ascii="Segoe UI" w:hAnsi="Segoe UI" w:cs="Segoe UI"/>
          <w:color w:val="352F3D"/>
          <w:sz w:val="21"/>
          <w:szCs w:val="21"/>
        </w:rPr>
        <w:t xml:space="preserve">alvation worked out in the embraced </w:t>
      </w:r>
      <w:r>
        <w:rPr>
          <w:rStyle w:val="Strong"/>
          <w:rFonts w:ascii="Segoe UI" w:hAnsi="Segoe UI" w:cs="Segoe UI"/>
          <w:color w:val="352F3D"/>
          <w:sz w:val="21"/>
          <w:szCs w:val="21"/>
        </w:rPr>
        <w:t xml:space="preserve">feminine </w:t>
      </w:r>
      <w:r w:rsidR="00A94C8F">
        <w:rPr>
          <w:rStyle w:val="Strong"/>
          <w:rFonts w:ascii="Segoe UI" w:hAnsi="Segoe UI" w:cs="Segoe UI"/>
          <w:color w:val="352F3D"/>
          <w:sz w:val="21"/>
          <w:szCs w:val="21"/>
        </w:rPr>
        <w:t>calling.</w:t>
      </w:r>
      <w:r w:rsidR="00A94C8F">
        <w:rPr>
          <w:rFonts w:ascii="Segoe UI" w:hAnsi="Segoe UI" w:cs="Segoe UI"/>
          <w:color w:val="352F3D"/>
          <w:sz w:val="21"/>
          <w:szCs w:val="21"/>
        </w:rPr>
        <w:t> Women are not second class in God's saving plan; they live out salvation in faith, love, holiness, and self-control, often in ordinary embodied life including motherhood, rather than by grasping status in the assembly. This fits the letter's godliness ethic and the self-control theme in vv. 9–10 and 15. It does not require that all women be mothers; childbearing is a representative sphere.</w:t>
      </w:r>
    </w:p>
    <w:p w14:paraId="32AE063D" w14:textId="14158FC0"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What v.15 clearly does</w:t>
      </w:r>
      <w:r w:rsidR="00E10437">
        <w:rPr>
          <w:rFonts w:ascii="Segoe UI" w:hAnsi="Segoe UI" w:cs="Segoe UI"/>
          <w:color w:val="352F3D"/>
          <w:sz w:val="21"/>
          <w:szCs w:val="21"/>
        </w:rPr>
        <w:t xml:space="preserve"> is </w:t>
      </w:r>
      <w:r>
        <w:rPr>
          <w:rFonts w:ascii="Segoe UI" w:hAnsi="Segoe UI" w:cs="Segoe UI"/>
          <w:color w:val="352F3D"/>
          <w:sz w:val="21"/>
          <w:szCs w:val="21"/>
        </w:rPr>
        <w:t>re-center on persevering godliness. Paul does not end with "women, stay down." He ends with "women, continue in mature holiness."</w:t>
      </w:r>
    </w:p>
    <w:p w14:paraId="59321AB1" w14:textId="77777777" w:rsidR="00A94C8F" w:rsidRDefault="00425303" w:rsidP="00A94C8F">
      <w:pPr>
        <w:rPr>
          <w:rFonts w:ascii="Segoe UI" w:hAnsi="Segoe UI" w:cs="Segoe UI"/>
          <w:sz w:val="21"/>
          <w:szCs w:val="21"/>
        </w:rPr>
      </w:pPr>
      <w:r>
        <w:pict w14:anchorId="3711B663">
          <v:rect id="Rectangle 41" o:spid="_x0000_s205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36CB8B"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Five: The Usurpation Reading Evaluated</w:t>
      </w:r>
    </w:p>
    <w:p w14:paraId="3B2B8C22"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most common modern argument against the reading advanced here holds that </w:t>
      </w:r>
      <w:r>
        <w:rPr>
          <w:rStyle w:val="Emphasis"/>
          <w:rFonts w:ascii="Segoe UI" w:hAnsi="Segoe UI" w:cs="Segoe UI"/>
          <w:color w:val="352F3D"/>
          <w:sz w:val="21"/>
          <w:szCs w:val="21"/>
        </w:rPr>
        <w:t>authentein</w:t>
      </w:r>
      <w:r>
        <w:rPr>
          <w:rFonts w:ascii="Segoe UI" w:hAnsi="Segoe UI" w:cs="Segoe UI"/>
          <w:color w:val="352F3D"/>
          <w:sz w:val="21"/>
          <w:szCs w:val="21"/>
        </w:rPr>
        <w:t> means "domineer" or "usurp," so that Paul forbids only abusive teaching, not teaching as such. This section addresses it directly.</w:t>
      </w:r>
    </w:p>
    <w:p w14:paraId="10ABB8C4"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5.1 The Syntactical Argument</w:t>
      </w:r>
    </w:p>
    <w:p w14:paraId="26DBE47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strongest response is grammatical rather than lexical. The lexicon debate over </w:t>
      </w:r>
      <w:r>
        <w:rPr>
          <w:rStyle w:val="Emphasis"/>
          <w:rFonts w:ascii="Segoe UI" w:hAnsi="Segoe UI" w:cs="Segoe UI"/>
          <w:color w:val="352F3D"/>
          <w:sz w:val="21"/>
          <w:szCs w:val="21"/>
        </w:rPr>
        <w:t>authentein</w:t>
      </w:r>
      <w:r>
        <w:rPr>
          <w:rFonts w:ascii="Segoe UI" w:hAnsi="Segoe UI" w:cs="Segoe UI"/>
          <w:color w:val="352F3D"/>
          <w:sz w:val="21"/>
          <w:szCs w:val="21"/>
        </w:rPr>
        <w:t> is genuinely muddy and unlikely to be settled by counting occurrences of a rare word. The sentence structure is firmer ground.</w:t>
      </w:r>
    </w:p>
    <w:p w14:paraId="5CD8519E" w14:textId="799FA068"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Andreas Köstenberger examined the construction </w:t>
      </w:r>
      <w:r>
        <w:rPr>
          <w:rStyle w:val="Emphasis"/>
          <w:rFonts w:ascii="Segoe UI" w:hAnsi="Segoe UI" w:cs="Segoe UI"/>
          <w:color w:val="352F3D"/>
          <w:sz w:val="21"/>
          <w:szCs w:val="21"/>
        </w:rPr>
        <w:t>ouk</w:t>
      </w:r>
      <w:r>
        <w:rPr>
          <w:rFonts w:ascii="Segoe UI" w:hAnsi="Segoe UI" w:cs="Segoe UI"/>
          <w:color w:val="352F3D"/>
          <w:sz w:val="21"/>
          <w:szCs w:val="21"/>
        </w:rPr>
        <w:t> + infinitive + </w:t>
      </w:r>
      <w:r>
        <w:rPr>
          <w:rStyle w:val="Emphasis"/>
          <w:rFonts w:ascii="Segoe UI" w:hAnsi="Segoe UI" w:cs="Segoe UI"/>
          <w:color w:val="352F3D"/>
          <w:sz w:val="21"/>
          <w:szCs w:val="21"/>
        </w:rPr>
        <w:t>oude</w:t>
      </w:r>
      <w:r>
        <w:rPr>
          <w:rFonts w:ascii="Segoe UI" w:hAnsi="Segoe UI" w:cs="Segoe UI"/>
          <w:color w:val="352F3D"/>
          <w:sz w:val="21"/>
          <w:szCs w:val="21"/>
        </w:rPr>
        <w:t> + infinitive across the New Testament and comparable Greek literature ("A Complex Sentence Structure in 1 Timothy 2:12," in </w:t>
      </w:r>
      <w:r>
        <w:rPr>
          <w:rStyle w:val="Emphasis"/>
          <w:rFonts w:ascii="Segoe UI" w:hAnsi="Segoe UI" w:cs="Segoe UI"/>
          <w:color w:val="352F3D"/>
          <w:sz w:val="21"/>
          <w:szCs w:val="21"/>
        </w:rPr>
        <w:t>Women in the Church</w:t>
      </w:r>
      <w:r>
        <w:rPr>
          <w:rFonts w:ascii="Segoe UI" w:hAnsi="Segoe UI" w:cs="Segoe UI"/>
          <w:color w:val="352F3D"/>
          <w:sz w:val="21"/>
          <w:szCs w:val="21"/>
        </w:rPr>
        <w:t>, 1995; expanded in the 3rd edition, 2016). His finding: </w:t>
      </w:r>
      <w:r>
        <w:rPr>
          <w:rStyle w:val="Emphasis"/>
          <w:rFonts w:ascii="Segoe UI" w:hAnsi="Segoe UI" w:cs="Segoe UI"/>
          <w:color w:val="352F3D"/>
          <w:sz w:val="21"/>
          <w:szCs w:val="21"/>
        </w:rPr>
        <w:t>oude</w:t>
      </w:r>
      <w:r>
        <w:rPr>
          <w:rFonts w:ascii="Segoe UI" w:hAnsi="Segoe UI" w:cs="Segoe UI"/>
          <w:color w:val="352F3D"/>
          <w:sz w:val="21"/>
          <w:szCs w:val="21"/>
        </w:rPr>
        <w:t> links two activities that the author views </w:t>
      </w:r>
      <w:r>
        <w:rPr>
          <w:rStyle w:val="Strong"/>
          <w:rFonts w:ascii="Segoe UI" w:hAnsi="Segoe UI" w:cs="Segoe UI"/>
          <w:color w:val="352F3D"/>
          <w:sz w:val="21"/>
          <w:szCs w:val="21"/>
        </w:rPr>
        <w:t>the same way</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either both positively or both negatively. Not one of each.</w:t>
      </w:r>
    </w:p>
    <w:p w14:paraId="71BFF090" w14:textId="6A7212EE"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Apply that here. </w:t>
      </w:r>
      <w:r>
        <w:rPr>
          <w:rStyle w:val="Emphasis"/>
          <w:rFonts w:ascii="Segoe UI" w:hAnsi="Segoe UI" w:cs="Segoe UI"/>
          <w:color w:val="352F3D"/>
          <w:sz w:val="21"/>
          <w:szCs w:val="21"/>
        </w:rPr>
        <w:t>Didaskein</w:t>
      </w:r>
      <w:r>
        <w:rPr>
          <w:rFonts w:ascii="Segoe UI" w:hAnsi="Segoe UI" w:cs="Segoe UI"/>
          <w:color w:val="352F3D"/>
          <w:sz w:val="21"/>
          <w:szCs w:val="21"/>
        </w:rPr>
        <w:t xml:space="preserve"> in 1 Timothy is consistently positive (1:3, 4:11, 6:2) </w:t>
      </w:r>
      <w:r w:rsidR="00202124">
        <w:rPr>
          <w:rFonts w:ascii="Segoe UI" w:hAnsi="Segoe UI" w:cs="Segoe UI"/>
          <w:color w:val="352F3D"/>
          <w:sz w:val="21"/>
          <w:szCs w:val="21"/>
        </w:rPr>
        <w:t>-</w:t>
      </w:r>
      <w:r>
        <w:rPr>
          <w:rFonts w:ascii="Segoe UI" w:hAnsi="Segoe UI" w:cs="Segoe UI"/>
          <w:color w:val="352F3D"/>
          <w:sz w:val="21"/>
          <w:szCs w:val="21"/>
        </w:rPr>
        <w:t xml:space="preserve"> it is the activity Timothy is commanded to perform. If </w:t>
      </w:r>
      <w:r>
        <w:rPr>
          <w:rStyle w:val="Emphasis"/>
          <w:rFonts w:ascii="Segoe UI" w:hAnsi="Segoe UI" w:cs="Segoe UI"/>
          <w:color w:val="352F3D"/>
          <w:sz w:val="21"/>
          <w:szCs w:val="21"/>
        </w:rPr>
        <w:t>didaskein</w:t>
      </w:r>
      <w:r>
        <w:rPr>
          <w:rFonts w:ascii="Segoe UI" w:hAnsi="Segoe UI" w:cs="Segoe UI"/>
          <w:color w:val="352F3D"/>
          <w:sz w:val="21"/>
          <w:szCs w:val="21"/>
        </w:rPr>
        <w:t> is viewed positively, then </w:t>
      </w:r>
      <w:r>
        <w:rPr>
          <w:rStyle w:val="Emphasis"/>
          <w:rFonts w:ascii="Segoe UI" w:hAnsi="Segoe UI" w:cs="Segoe UI"/>
          <w:color w:val="352F3D"/>
          <w:sz w:val="21"/>
          <w:szCs w:val="21"/>
        </w:rPr>
        <w:t>authentein</w:t>
      </w:r>
      <w:r>
        <w:rPr>
          <w:rFonts w:ascii="Segoe UI" w:hAnsi="Segoe UI" w:cs="Segoe UI"/>
          <w:color w:val="352F3D"/>
          <w:sz w:val="21"/>
          <w:szCs w:val="21"/>
        </w:rPr>
        <w:t> must be as well. That yields "exercise authority," not "domineer."</w:t>
      </w:r>
    </w:p>
    <w:p w14:paraId="6B7CC02B" w14:textId="2B098339"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To reach "domineer," one must also make </w:t>
      </w:r>
      <w:r>
        <w:rPr>
          <w:rStyle w:val="Emphasis"/>
          <w:rFonts w:ascii="Segoe UI" w:hAnsi="Segoe UI" w:cs="Segoe UI"/>
          <w:color w:val="352F3D"/>
          <w:sz w:val="21"/>
          <w:szCs w:val="21"/>
        </w:rPr>
        <w:t>didaskein</w:t>
      </w:r>
      <w:r>
        <w:rPr>
          <w:rFonts w:ascii="Segoe UI" w:hAnsi="Segoe UI" w:cs="Segoe UI"/>
          <w:color w:val="352F3D"/>
          <w:sz w:val="21"/>
          <w:szCs w:val="21"/>
        </w:rPr>
        <w:t> negative, which would mean Paul forbids only </w:t>
      </w:r>
      <w:r>
        <w:rPr>
          <w:rStyle w:val="Emphasis"/>
          <w:rFonts w:ascii="Segoe UI" w:hAnsi="Segoe UI" w:cs="Segoe UI"/>
          <w:color w:val="352F3D"/>
          <w:sz w:val="21"/>
          <w:szCs w:val="21"/>
        </w:rPr>
        <w:t>false</w:t>
      </w:r>
      <w:r>
        <w:rPr>
          <w:rFonts w:ascii="Segoe UI" w:hAnsi="Segoe UI" w:cs="Segoe UI"/>
          <w:color w:val="352F3D"/>
          <w:sz w:val="21"/>
          <w:szCs w:val="21"/>
        </w:rPr>
        <w:t> teaching by women</w:t>
      </w:r>
      <w:r w:rsidR="004041F7">
        <w:rPr>
          <w:rFonts w:ascii="Segoe UI" w:hAnsi="Segoe UI" w:cs="Segoe UI"/>
          <w:color w:val="352F3D"/>
          <w:sz w:val="21"/>
          <w:szCs w:val="21"/>
        </w:rPr>
        <w:t xml:space="preserve">…, </w:t>
      </w:r>
      <w:r>
        <w:rPr>
          <w:rFonts w:ascii="Segoe UI" w:hAnsi="Segoe UI" w:cs="Segoe UI"/>
          <w:color w:val="352F3D"/>
          <w:sz w:val="21"/>
          <w:szCs w:val="21"/>
        </w:rPr>
        <w:t>and therefore permits women any true teaching, including the governing kind. Few argue this, because it makes verse 13 incoherent.</w:t>
      </w:r>
    </w:p>
    <w:p w14:paraId="2BE51534"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5.2 The Decisive Objection: Why Verse 13?</w:t>
      </w:r>
    </w:p>
    <w:p w14:paraId="0E6B2ECE"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Set the grammar aside and ask a simpler question.</w:t>
      </w:r>
    </w:p>
    <w:p w14:paraId="40EF502E"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If Paul is prohibiting domineering behavior, why does he ground the prohibition in the order of creation?</w:t>
      </w:r>
    </w:p>
    <w:p w14:paraId="37E3C92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One does not need Genesis 2 to explain why bullying is wrong. If the problem were abuse of authority, the natural reason would be "because domineering is wrong," or an appeal to Christ's teaching on servant leadership (Mark 10:42–45), which Paul knew.</w:t>
      </w:r>
    </w:p>
    <w:p w14:paraId="38A8D235" w14:textId="53012C25" w:rsidR="00A94C8F" w:rsidRDefault="00202124"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Instead,</w:t>
      </w:r>
      <w:r w:rsidR="00A94C8F">
        <w:rPr>
          <w:rFonts w:ascii="Segoe UI" w:hAnsi="Segoe UI" w:cs="Segoe UI"/>
          <w:color w:val="352F3D"/>
          <w:sz w:val="21"/>
          <w:szCs w:val="21"/>
        </w:rPr>
        <w:t xml:space="preserve"> Paul writes: "</w:t>
      </w:r>
      <w:r w:rsidR="00A94C8F">
        <w:rPr>
          <w:rStyle w:val="Strong"/>
          <w:rFonts w:ascii="Segoe UI" w:hAnsi="Segoe UI" w:cs="Segoe UI"/>
          <w:color w:val="352F3D"/>
          <w:sz w:val="21"/>
          <w:szCs w:val="21"/>
        </w:rPr>
        <w:t>For</w:t>
      </w:r>
      <w:r w:rsidR="00A94C8F">
        <w:rPr>
          <w:rFonts w:ascii="Segoe UI" w:hAnsi="Segoe UI" w:cs="Segoe UI"/>
          <w:color w:val="352F3D"/>
          <w:sz w:val="21"/>
          <w:szCs w:val="21"/>
        </w:rPr>
        <w:t> Adam was formed first and then Eve."</w:t>
      </w:r>
    </w:p>
    <w:p w14:paraId="3F950A74"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lastRenderedPageBreak/>
        <w:t>The </w:t>
      </w:r>
      <w:r>
        <w:rPr>
          <w:rStyle w:val="Emphasis"/>
          <w:rFonts w:ascii="Segoe UI" w:hAnsi="Segoe UI" w:cs="Segoe UI"/>
          <w:color w:val="352F3D"/>
          <w:sz w:val="21"/>
          <w:szCs w:val="21"/>
        </w:rPr>
        <w:t>gar</w:t>
      </w:r>
      <w:r>
        <w:rPr>
          <w:rFonts w:ascii="Segoe UI" w:hAnsi="Segoe UI" w:cs="Segoe UI"/>
          <w:color w:val="352F3D"/>
          <w:sz w:val="21"/>
          <w:szCs w:val="21"/>
        </w:rPr>
        <w:t> marks his rationale. A rationale from creation order fits a prohibition concerning who holds a role. It does not fit a prohibition concerning how a role is conducted.</w:t>
      </w:r>
    </w:p>
    <w:p w14:paraId="53BEDDC1"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5.3 A Secondary Objection</w:t>
      </w:r>
    </w:p>
    <w:p w14:paraId="5C4E183E"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If the prohibition targets domineering, why is it addressed to women only? No man should domineer either. A gendered prohibition against abuse would be arbitrary.</w:t>
      </w:r>
    </w:p>
    <w:p w14:paraId="3B04E847"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5.4 What the Usurpation Reading Gets Right</w:t>
      </w:r>
    </w:p>
    <w:p w14:paraId="464FB8E5" w14:textId="40B7032C"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Two things, and </w:t>
      </w:r>
      <w:r w:rsidR="008A2ECE">
        <w:rPr>
          <w:rFonts w:ascii="Segoe UI" w:hAnsi="Segoe UI" w:cs="Segoe UI"/>
          <w:color w:val="352F3D"/>
          <w:sz w:val="21"/>
          <w:szCs w:val="21"/>
        </w:rPr>
        <w:t>that</w:t>
      </w:r>
      <w:r>
        <w:rPr>
          <w:rFonts w:ascii="Segoe UI" w:hAnsi="Segoe UI" w:cs="Segoe UI"/>
          <w:color w:val="352F3D"/>
          <w:sz w:val="21"/>
          <w:szCs w:val="21"/>
        </w:rPr>
        <w:t xml:space="preserve"> should be conceded.</w:t>
      </w:r>
    </w:p>
    <w:p w14:paraId="7B74FF81"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earliest translations do render </w:t>
      </w:r>
      <w:r>
        <w:rPr>
          <w:rStyle w:val="Emphasis"/>
          <w:rFonts w:ascii="Segoe UI" w:hAnsi="Segoe UI" w:cs="Segoe UI"/>
          <w:color w:val="352F3D"/>
          <w:sz w:val="21"/>
          <w:szCs w:val="21"/>
        </w:rPr>
        <w:t>authentein</w:t>
      </w:r>
      <w:r>
        <w:rPr>
          <w:rFonts w:ascii="Segoe UI" w:hAnsi="Segoe UI" w:cs="Segoe UI"/>
          <w:color w:val="352F3D"/>
          <w:sz w:val="21"/>
          <w:szCs w:val="21"/>
        </w:rPr>
        <w:t> negatively. The Old Latin has </w:t>
      </w:r>
      <w:r>
        <w:rPr>
          <w:rStyle w:val="Emphasis"/>
          <w:rFonts w:ascii="Segoe UI" w:hAnsi="Segoe UI" w:cs="Segoe UI"/>
          <w:color w:val="352F3D"/>
          <w:sz w:val="21"/>
          <w:szCs w:val="21"/>
        </w:rPr>
        <w:t>dominari</w:t>
      </w:r>
      <w:r>
        <w:rPr>
          <w:rFonts w:ascii="Segoe UI" w:hAnsi="Segoe UI" w:cs="Segoe UI"/>
          <w:color w:val="352F3D"/>
          <w:sz w:val="21"/>
          <w:szCs w:val="21"/>
        </w:rPr>
        <w:t>, the Vulgate likewise, the Sahidic Coptic </w:t>
      </w:r>
      <w:r>
        <w:rPr>
          <w:rStyle w:val="Emphasis"/>
          <w:rFonts w:ascii="Segoe UI" w:hAnsi="Segoe UI" w:cs="Segoe UI"/>
          <w:color w:val="352F3D"/>
          <w:sz w:val="21"/>
          <w:szCs w:val="21"/>
        </w:rPr>
        <w:t>erjoeis</w:t>
      </w:r>
      <w:r>
        <w:rPr>
          <w:rFonts w:ascii="Segoe UI" w:hAnsi="Segoe UI" w:cs="Segoe UI"/>
          <w:color w:val="352F3D"/>
          <w:sz w:val="21"/>
          <w:szCs w:val="21"/>
        </w:rPr>
        <w:t>. These were made when Koine was a living language. This is real evidence and should not be waved off.</w:t>
      </w:r>
    </w:p>
    <w:p w14:paraId="527B01A8" w14:textId="6C18EB5B"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response is that Latin </w:t>
      </w:r>
      <w:r>
        <w:rPr>
          <w:rStyle w:val="Emphasis"/>
          <w:rFonts w:ascii="Segoe UI" w:hAnsi="Segoe UI" w:cs="Segoe UI"/>
          <w:color w:val="352F3D"/>
          <w:sz w:val="21"/>
          <w:szCs w:val="21"/>
        </w:rPr>
        <w:t>dominari</w:t>
      </w:r>
      <w:r>
        <w:rPr>
          <w:rFonts w:ascii="Segoe UI" w:hAnsi="Segoe UI" w:cs="Segoe UI"/>
          <w:color w:val="352F3D"/>
          <w:sz w:val="21"/>
          <w:szCs w:val="21"/>
        </w:rPr>
        <w:t> itself spans neutral "to rule" and negative "to tyrannize," so the renderings do not settle the question</w:t>
      </w:r>
      <w:r w:rsidR="004041F7">
        <w:rPr>
          <w:rFonts w:ascii="Segoe UI" w:hAnsi="Segoe UI" w:cs="Segoe UI"/>
          <w:color w:val="352F3D"/>
          <w:sz w:val="21"/>
          <w:szCs w:val="21"/>
        </w:rPr>
        <w:t>. A</w:t>
      </w:r>
      <w:r>
        <w:rPr>
          <w:rFonts w:ascii="Segoe UI" w:hAnsi="Segoe UI" w:cs="Segoe UI"/>
          <w:color w:val="352F3D"/>
          <w:sz w:val="21"/>
          <w:szCs w:val="21"/>
        </w:rPr>
        <w:t>nd</w:t>
      </w:r>
      <w:r w:rsidR="004041F7">
        <w:rPr>
          <w:rFonts w:ascii="Segoe UI" w:hAnsi="Segoe UI" w:cs="Segoe UI"/>
          <w:color w:val="352F3D"/>
          <w:sz w:val="21"/>
          <w:szCs w:val="21"/>
        </w:rPr>
        <w:t>,</w:t>
      </w:r>
      <w:r>
        <w:rPr>
          <w:rFonts w:ascii="Segoe UI" w:hAnsi="Segoe UI" w:cs="Segoe UI"/>
          <w:color w:val="352F3D"/>
          <w:sz w:val="21"/>
          <w:szCs w:val="21"/>
        </w:rPr>
        <w:t xml:space="preserve"> in any case</w:t>
      </w:r>
      <w:r w:rsidR="004041F7">
        <w:rPr>
          <w:rFonts w:ascii="Segoe UI" w:hAnsi="Segoe UI" w:cs="Segoe UI"/>
          <w:color w:val="352F3D"/>
          <w:sz w:val="21"/>
          <w:szCs w:val="21"/>
        </w:rPr>
        <w:t>,</w:t>
      </w:r>
      <w:r>
        <w:rPr>
          <w:rFonts w:ascii="Segoe UI" w:hAnsi="Segoe UI" w:cs="Segoe UI"/>
          <w:color w:val="352F3D"/>
          <w:sz w:val="21"/>
          <w:szCs w:val="21"/>
        </w:rPr>
        <w:t xml:space="preserve"> they do not address the </w:t>
      </w:r>
      <w:r>
        <w:rPr>
          <w:rStyle w:val="Emphasis"/>
          <w:rFonts w:ascii="Segoe UI" w:hAnsi="Segoe UI" w:cs="Segoe UI"/>
          <w:color w:val="352F3D"/>
          <w:sz w:val="21"/>
          <w:szCs w:val="21"/>
        </w:rPr>
        <w:t>oude</w:t>
      </w:r>
      <w:r>
        <w:rPr>
          <w:rFonts w:ascii="Segoe UI" w:hAnsi="Segoe UI" w:cs="Segoe UI"/>
          <w:color w:val="352F3D"/>
          <w:sz w:val="21"/>
          <w:szCs w:val="21"/>
        </w:rPr>
        <w:t> construction, which remains the stronger argument.</w:t>
      </w:r>
    </w:p>
    <w:p w14:paraId="53FB655E" w14:textId="76B70E54"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second concession</w:t>
      </w:r>
      <w:r w:rsidR="004041F7">
        <w:rPr>
          <w:rFonts w:ascii="Segoe UI" w:hAnsi="Segoe UI" w:cs="Segoe UI"/>
          <w:color w:val="352F3D"/>
          <w:sz w:val="21"/>
          <w:szCs w:val="21"/>
        </w:rPr>
        <w:t xml:space="preserve">…, </w:t>
      </w:r>
      <w:r>
        <w:rPr>
          <w:rFonts w:ascii="Segoe UI" w:hAnsi="Segoe UI" w:cs="Segoe UI"/>
          <w:color w:val="352F3D"/>
          <w:sz w:val="21"/>
          <w:szCs w:val="21"/>
        </w:rPr>
        <w:t>there was real disorder among some women in Ephesus (5:13–15). That context plausibly explains the letter's urgency and some adjacent applications. It does not supply Paul's stated reason in 2:13–14.</w:t>
      </w:r>
    </w:p>
    <w:p w14:paraId="6E6CB118" w14:textId="77777777" w:rsidR="00A94C8F" w:rsidRDefault="00425303" w:rsidP="00A94C8F">
      <w:pPr>
        <w:rPr>
          <w:rFonts w:ascii="Segoe UI" w:hAnsi="Segoe UI" w:cs="Segoe UI"/>
          <w:sz w:val="21"/>
          <w:szCs w:val="21"/>
        </w:rPr>
      </w:pPr>
      <w:r>
        <w:pict w14:anchorId="42BD24A0">
          <v:rect id="Rectangle 39" o:spid="_x0000_s205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D2DFC7"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Six: Local or Universal?</w:t>
      </w:r>
    </w:p>
    <w:p w14:paraId="66DFAB15" w14:textId="77777777" w:rsidR="00A94C8F" w:rsidRDefault="00A94C8F" w:rsidP="00A94C8F">
      <w:pPr>
        <w:pStyle w:val="Heading2"/>
        <w:spacing w:before="360" w:after="240"/>
        <w:rPr>
          <w:rFonts w:ascii="Segoe UI" w:hAnsi="Segoe UI" w:cs="Segoe UI"/>
          <w:color w:val="352F3D"/>
        </w:rPr>
      </w:pPr>
      <w:r>
        <w:rPr>
          <w:rFonts w:ascii="Segoe UI" w:hAnsi="Segoe UI" w:cs="Segoe UI"/>
          <w:color w:val="352F3D"/>
        </w:rPr>
        <w:t>6.1 The Ephesus Hypothesis</w:t>
      </w:r>
    </w:p>
    <w:p w14:paraId="2DB34402"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Paul's stated mission in Ephesus is to stop heterodox teaching (1:3) and to order the church's public life as "God's household... pillar and foundation of the truth" (3:15).</w:t>
      </w:r>
    </w:p>
    <w:p w14:paraId="5144D27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letter does contain locally inflected direction. Women's status display in dress (2:9) is culturally specific. Younger widows' household-disruptive patterns (5:13–15) address a particular subgroup.</w:t>
      </w:r>
    </w:p>
    <w:p w14:paraId="584B4C5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But 2:12 is not grounded in Ephesian culture. It is framed as a general rule and explicitly justified by Genesis (2:13–14).</w:t>
      </w:r>
    </w:p>
    <w:p w14:paraId="5BBB8987"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6.2 The Test That Settles It</w:t>
      </w:r>
    </w:p>
    <w:p w14:paraId="4497F28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knew how to give a local, reputational rationale. He gives one three chapters later: instruction to younger widows so that "the adversary is given no occasion for slander" (5:14).</w:t>
      </w:r>
    </w:p>
    <w:p w14:paraId="14403A3A"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That is a situational argument, and Paul is fully capable of making it.</w:t>
      </w:r>
    </w:p>
    <w:p w14:paraId="7F068F5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He does not make it in 2:13–14. Given a choice between a local rationale and a creation rationale, in the same letter, he reaches past Ephesus to Genesis.</w:t>
      </w:r>
    </w:p>
    <w:p w14:paraId="39B61FBA" w14:textId="2DAE7279"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This is </w:t>
      </w:r>
      <w:r w:rsidR="008A2ECE">
        <w:rPr>
          <w:rFonts w:ascii="Segoe UI" w:hAnsi="Segoe UI" w:cs="Segoe UI"/>
          <w:color w:val="352F3D"/>
          <w:sz w:val="21"/>
          <w:szCs w:val="21"/>
        </w:rPr>
        <w:t xml:space="preserve">perhaps </w:t>
      </w:r>
      <w:r>
        <w:rPr>
          <w:rFonts w:ascii="Segoe UI" w:hAnsi="Segoe UI" w:cs="Segoe UI"/>
          <w:color w:val="352F3D"/>
          <w:sz w:val="21"/>
          <w:szCs w:val="21"/>
        </w:rPr>
        <w:t>the strongest internal evidence against reading v.12 as a culturally contingent stopgap.</w:t>
      </w:r>
    </w:p>
    <w:p w14:paraId="1AEBE6AF"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6.3 Structure and Placement</w:t>
      </w:r>
    </w:p>
    <w:p w14:paraId="66FD7F52" w14:textId="15D7A4CD"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macro-flow runs</w:t>
      </w:r>
      <w:r w:rsidR="004041F7">
        <w:rPr>
          <w:rFonts w:ascii="Segoe UI" w:hAnsi="Segoe UI" w:cs="Segoe UI"/>
          <w:color w:val="352F3D"/>
          <w:sz w:val="21"/>
          <w:szCs w:val="21"/>
        </w:rPr>
        <w:t>…,</w:t>
      </w:r>
      <w:r>
        <w:rPr>
          <w:rFonts w:ascii="Segoe UI" w:hAnsi="Segoe UI" w:cs="Segoe UI"/>
          <w:color w:val="352F3D"/>
          <w:sz w:val="21"/>
          <w:szCs w:val="21"/>
        </w:rPr>
        <w:t xml:space="preserve"> ordered worship (2:1–15) → qualified overseers and deacons (3:1–13) → purpose statement about God's household and truth (3:15) → renewed emphasis on deceptive teaching (chs. 4–6).</w:t>
      </w:r>
    </w:p>
    <w:p w14:paraId="260A4C0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lastRenderedPageBreak/>
        <w:t>That structure makes 2:11–12 read less like isolated cultural accommodation and more like a boundary condition for who occupies the congregation-shaping teaching and authority space that chapter 3 immediately regulates.</w:t>
      </w:r>
    </w:p>
    <w:p w14:paraId="741356D9"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6.4 "Why Doesn't Paul Repeat It Everywhere?"</w:t>
      </w:r>
    </w:p>
    <w:p w14:paraId="24F7A66A"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Paul's letters are occasional, not systematic. He writes to address problems and assumes shared teaching. Absence of repetition is not absence of principle.</w:t>
      </w:r>
    </w:p>
    <w:p w14:paraId="4BB7F36B"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Consider what else appears only once:</w:t>
      </w:r>
    </w:p>
    <w:p w14:paraId="6B023193" w14:textId="63D8F584" w:rsidR="00A94C8F" w:rsidRDefault="00A94C8F" w:rsidP="00A94C8F">
      <w:pPr>
        <w:pStyle w:val="code-line"/>
        <w:numPr>
          <w:ilvl w:val="0"/>
          <w:numId w:val="69"/>
        </w:numPr>
        <w:rPr>
          <w:rFonts w:ascii="Segoe UI" w:hAnsi="Segoe UI" w:cs="Segoe UI"/>
          <w:color w:val="352F3D"/>
          <w:sz w:val="21"/>
          <w:szCs w:val="21"/>
        </w:rPr>
      </w:pPr>
      <w:r>
        <w:rPr>
          <w:rFonts w:ascii="Segoe UI" w:hAnsi="Segoe UI" w:cs="Segoe UI"/>
          <w:color w:val="352F3D"/>
          <w:sz w:val="21"/>
          <w:szCs w:val="21"/>
        </w:rPr>
        <w:t xml:space="preserve">Overseer qualifications </w:t>
      </w:r>
      <w:r w:rsidR="00202124">
        <w:rPr>
          <w:rFonts w:ascii="Segoe UI" w:hAnsi="Segoe UI" w:cs="Segoe UI"/>
          <w:color w:val="352F3D"/>
          <w:sz w:val="21"/>
          <w:szCs w:val="21"/>
        </w:rPr>
        <w:t>-</w:t>
      </w:r>
      <w:r>
        <w:rPr>
          <w:rFonts w:ascii="Segoe UI" w:hAnsi="Segoe UI" w:cs="Segoe UI"/>
          <w:color w:val="352F3D"/>
          <w:sz w:val="21"/>
          <w:szCs w:val="21"/>
        </w:rPr>
        <w:t xml:space="preserve"> only detailed in the Pastorals</w:t>
      </w:r>
    </w:p>
    <w:p w14:paraId="4E34CF36" w14:textId="1A9E1847" w:rsidR="00A94C8F" w:rsidRDefault="00A94C8F" w:rsidP="00A94C8F">
      <w:pPr>
        <w:pStyle w:val="code-line"/>
        <w:numPr>
          <w:ilvl w:val="0"/>
          <w:numId w:val="69"/>
        </w:numPr>
        <w:rPr>
          <w:rFonts w:ascii="Segoe UI" w:hAnsi="Segoe UI" w:cs="Segoe UI"/>
          <w:color w:val="352F3D"/>
          <w:sz w:val="21"/>
          <w:szCs w:val="21"/>
        </w:rPr>
      </w:pPr>
      <w:r>
        <w:rPr>
          <w:rFonts w:ascii="Segoe UI" w:hAnsi="Segoe UI" w:cs="Segoe UI"/>
          <w:color w:val="352F3D"/>
          <w:sz w:val="21"/>
          <w:szCs w:val="21"/>
        </w:rPr>
        <w:t xml:space="preserve">The man of lawlessness </w:t>
      </w:r>
      <w:r w:rsidR="00202124">
        <w:rPr>
          <w:rFonts w:ascii="Segoe UI" w:hAnsi="Segoe UI" w:cs="Segoe UI"/>
          <w:color w:val="352F3D"/>
          <w:sz w:val="21"/>
          <w:szCs w:val="21"/>
        </w:rPr>
        <w:t xml:space="preserve">- </w:t>
      </w:r>
      <w:r>
        <w:rPr>
          <w:rFonts w:ascii="Segoe UI" w:hAnsi="Segoe UI" w:cs="Segoe UI"/>
          <w:color w:val="352F3D"/>
          <w:sz w:val="21"/>
          <w:szCs w:val="21"/>
        </w:rPr>
        <w:t>only in 2 Thessalonians</w:t>
      </w:r>
    </w:p>
    <w:p w14:paraId="5AFE195E" w14:textId="715A0475" w:rsidR="00A94C8F" w:rsidRDefault="00A94C8F" w:rsidP="00A94C8F">
      <w:pPr>
        <w:pStyle w:val="code-line"/>
        <w:numPr>
          <w:ilvl w:val="0"/>
          <w:numId w:val="69"/>
        </w:numPr>
        <w:rPr>
          <w:rFonts w:ascii="Segoe UI" w:hAnsi="Segoe UI" w:cs="Segoe UI"/>
          <w:color w:val="352F3D"/>
          <w:sz w:val="21"/>
          <w:szCs w:val="21"/>
        </w:rPr>
      </w:pPr>
      <w:r>
        <w:rPr>
          <w:rFonts w:ascii="Segoe UI" w:hAnsi="Segoe UI" w:cs="Segoe UI"/>
          <w:color w:val="352F3D"/>
          <w:sz w:val="21"/>
          <w:szCs w:val="21"/>
        </w:rPr>
        <w:t xml:space="preserve">Detailed widow instructions </w:t>
      </w:r>
      <w:r w:rsidR="00202124">
        <w:rPr>
          <w:rFonts w:ascii="Segoe UI" w:hAnsi="Segoe UI" w:cs="Segoe UI"/>
          <w:color w:val="352F3D"/>
          <w:sz w:val="21"/>
          <w:szCs w:val="21"/>
        </w:rPr>
        <w:t>-</w:t>
      </w:r>
      <w:r>
        <w:rPr>
          <w:rFonts w:ascii="Segoe UI" w:hAnsi="Segoe UI" w:cs="Segoe UI"/>
          <w:color w:val="352F3D"/>
          <w:sz w:val="21"/>
          <w:szCs w:val="21"/>
        </w:rPr>
        <w:t xml:space="preserve"> only in 1 Timothy 5</w:t>
      </w:r>
    </w:p>
    <w:p w14:paraId="6120015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We do not conclude those are local inventions.</w:t>
      </w:r>
    </w:p>
    <w:p w14:paraId="23DF55EC"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Further, 1 Timothy is not the only place. 1 Corinthians 11 regulates women praying and prophesying; 1 Corinthians 14 regulates women speaking in the assembly. Corinth already had gender-related speech regulation.</w:t>
      </w:r>
    </w:p>
    <w:p w14:paraId="49EFFBE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And Paul's creation appeals are rare and strategic. He invokes Genesis when discussing male–female order (1 Cor 11), marriage (Eph 5), Adam–Christ theology (Rom 5), and church authority (1 Tim 2). He does not scatter creation arguments casually. That 1 Tim 2 uses one may indicate importance rather than locality.</w:t>
      </w:r>
    </w:p>
    <w:p w14:paraId="169EA29C"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6.5 Passage Map</w:t>
      </w:r>
    </w:p>
    <w:tbl>
      <w:tblPr>
        <w:tblW w:w="0" w:type="auto"/>
        <w:tblCellMar>
          <w:top w:w="15" w:type="dxa"/>
          <w:left w:w="15" w:type="dxa"/>
          <w:bottom w:w="15" w:type="dxa"/>
          <w:right w:w="15" w:type="dxa"/>
        </w:tblCellMar>
        <w:tblLook w:val="04A0" w:firstRow="1" w:lastRow="0" w:firstColumn="1" w:lastColumn="0" w:noHBand="0" w:noVBand="1"/>
      </w:tblPr>
      <w:tblGrid>
        <w:gridCol w:w="1244"/>
        <w:gridCol w:w="2635"/>
        <w:gridCol w:w="1893"/>
        <w:gridCol w:w="3588"/>
      </w:tblGrid>
      <w:tr w:rsidR="00A94C8F" w14:paraId="3C906372" w14:textId="77777777">
        <w:trPr>
          <w:tblHeader/>
        </w:trPr>
        <w:tc>
          <w:tcPr>
            <w:tcW w:w="0" w:type="auto"/>
            <w:tcMar>
              <w:top w:w="75" w:type="dxa"/>
              <w:left w:w="150" w:type="dxa"/>
              <w:bottom w:w="75" w:type="dxa"/>
              <w:right w:w="150" w:type="dxa"/>
            </w:tcMar>
            <w:vAlign w:val="center"/>
            <w:hideMark/>
          </w:tcPr>
          <w:p w14:paraId="5ED0F32B"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Passage</w:t>
            </w:r>
          </w:p>
        </w:tc>
        <w:tc>
          <w:tcPr>
            <w:tcW w:w="0" w:type="auto"/>
            <w:tcMar>
              <w:top w:w="75" w:type="dxa"/>
              <w:left w:w="150" w:type="dxa"/>
              <w:bottom w:w="75" w:type="dxa"/>
              <w:right w:w="150" w:type="dxa"/>
            </w:tcMar>
            <w:vAlign w:val="center"/>
            <w:hideMark/>
          </w:tcPr>
          <w:p w14:paraId="110D90D1"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Focus</w:t>
            </w:r>
          </w:p>
        </w:tc>
        <w:tc>
          <w:tcPr>
            <w:tcW w:w="0" w:type="auto"/>
            <w:tcMar>
              <w:top w:w="75" w:type="dxa"/>
              <w:left w:w="150" w:type="dxa"/>
              <w:bottom w:w="75" w:type="dxa"/>
              <w:right w:w="150" w:type="dxa"/>
            </w:tcMar>
            <w:vAlign w:val="center"/>
            <w:hideMark/>
          </w:tcPr>
          <w:p w14:paraId="50794D62"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Signal</w:t>
            </w:r>
          </w:p>
        </w:tc>
        <w:tc>
          <w:tcPr>
            <w:tcW w:w="0" w:type="auto"/>
            <w:tcMar>
              <w:top w:w="75" w:type="dxa"/>
              <w:left w:w="150" w:type="dxa"/>
              <w:bottom w:w="75" w:type="dxa"/>
              <w:right w:w="150" w:type="dxa"/>
            </w:tcMar>
            <w:vAlign w:val="center"/>
            <w:hideMark/>
          </w:tcPr>
          <w:p w14:paraId="589A8FED" w14:textId="77777777" w:rsidR="00A94C8F" w:rsidRDefault="00A94C8F">
            <w:pPr>
              <w:spacing w:after="168"/>
              <w:rPr>
                <w:rFonts w:ascii="Segoe UI" w:hAnsi="Segoe UI" w:cs="Segoe UI"/>
                <w:b/>
                <w:bCs/>
                <w:color w:val="352F3D"/>
                <w:sz w:val="21"/>
                <w:szCs w:val="21"/>
              </w:rPr>
            </w:pPr>
            <w:r>
              <w:rPr>
                <w:rFonts w:ascii="Segoe UI" w:hAnsi="Segoe UI" w:cs="Segoe UI"/>
                <w:b/>
                <w:bCs/>
                <w:color w:val="352F3D"/>
                <w:sz w:val="21"/>
                <w:szCs w:val="21"/>
              </w:rPr>
              <w:t>Bearing on "v.12 is cultural"</w:t>
            </w:r>
          </w:p>
        </w:tc>
      </w:tr>
      <w:tr w:rsidR="00A94C8F" w14:paraId="3831B115" w14:textId="77777777">
        <w:tc>
          <w:tcPr>
            <w:tcW w:w="0" w:type="auto"/>
            <w:tcMar>
              <w:top w:w="75" w:type="dxa"/>
              <w:left w:w="150" w:type="dxa"/>
              <w:bottom w:w="75" w:type="dxa"/>
              <w:right w:w="150" w:type="dxa"/>
            </w:tcMar>
            <w:vAlign w:val="center"/>
            <w:hideMark/>
          </w:tcPr>
          <w:p w14:paraId="0A43D8EB"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1:3–7; 6:3, 20–21</w:t>
            </w:r>
          </w:p>
        </w:tc>
        <w:tc>
          <w:tcPr>
            <w:tcW w:w="0" w:type="auto"/>
            <w:tcMar>
              <w:top w:w="75" w:type="dxa"/>
              <w:left w:w="150" w:type="dxa"/>
              <w:bottom w:w="75" w:type="dxa"/>
              <w:right w:w="150" w:type="dxa"/>
            </w:tcMar>
            <w:vAlign w:val="center"/>
            <w:hideMark/>
          </w:tcPr>
          <w:p w14:paraId="67E5744E"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Stop false teaching; guard deposit</w:t>
            </w:r>
          </w:p>
        </w:tc>
        <w:tc>
          <w:tcPr>
            <w:tcW w:w="0" w:type="auto"/>
            <w:tcMar>
              <w:top w:w="75" w:type="dxa"/>
              <w:left w:w="150" w:type="dxa"/>
              <w:bottom w:w="75" w:type="dxa"/>
              <w:right w:w="150" w:type="dxa"/>
            </w:tcMar>
            <w:vAlign w:val="center"/>
            <w:hideMark/>
          </w:tcPr>
          <w:p w14:paraId="68ABB25E"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Local problem plus trans-local norm</w:t>
            </w:r>
          </w:p>
        </w:tc>
        <w:tc>
          <w:tcPr>
            <w:tcW w:w="0" w:type="auto"/>
            <w:tcMar>
              <w:top w:w="75" w:type="dxa"/>
              <w:left w:w="150" w:type="dxa"/>
              <w:bottom w:w="75" w:type="dxa"/>
              <w:right w:w="150" w:type="dxa"/>
            </w:tcMar>
            <w:vAlign w:val="center"/>
            <w:hideMark/>
          </w:tcPr>
          <w:p w14:paraId="1DE6BEC8"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Local pressure exists; not that v.12 stems from culture</w:t>
            </w:r>
          </w:p>
        </w:tc>
      </w:tr>
      <w:tr w:rsidR="00A94C8F" w14:paraId="21B32DDE" w14:textId="77777777">
        <w:tc>
          <w:tcPr>
            <w:tcW w:w="0" w:type="auto"/>
            <w:tcMar>
              <w:top w:w="75" w:type="dxa"/>
              <w:left w:w="150" w:type="dxa"/>
              <w:bottom w:w="75" w:type="dxa"/>
              <w:right w:w="150" w:type="dxa"/>
            </w:tcMar>
            <w:vAlign w:val="center"/>
            <w:hideMark/>
          </w:tcPr>
          <w:p w14:paraId="656355D5"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2:9–10</w:t>
            </w:r>
          </w:p>
        </w:tc>
        <w:tc>
          <w:tcPr>
            <w:tcW w:w="0" w:type="auto"/>
            <w:tcMar>
              <w:top w:w="75" w:type="dxa"/>
              <w:left w:w="150" w:type="dxa"/>
              <w:bottom w:w="75" w:type="dxa"/>
              <w:right w:w="150" w:type="dxa"/>
            </w:tcMar>
            <w:vAlign w:val="center"/>
            <w:hideMark/>
          </w:tcPr>
          <w:p w14:paraId="2EE0B91A"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Apparel vs. wealth display</w:t>
            </w:r>
          </w:p>
        </w:tc>
        <w:tc>
          <w:tcPr>
            <w:tcW w:w="0" w:type="auto"/>
            <w:tcMar>
              <w:top w:w="75" w:type="dxa"/>
              <w:left w:w="150" w:type="dxa"/>
              <w:bottom w:w="75" w:type="dxa"/>
              <w:right w:w="150" w:type="dxa"/>
            </w:tcMar>
            <w:vAlign w:val="center"/>
            <w:hideMark/>
          </w:tcPr>
          <w:p w14:paraId="7E29E36C"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Strongly culture-shaped</w:t>
            </w:r>
          </w:p>
        </w:tc>
        <w:tc>
          <w:tcPr>
            <w:tcW w:w="0" w:type="auto"/>
            <w:tcMar>
              <w:top w:w="75" w:type="dxa"/>
              <w:left w:w="150" w:type="dxa"/>
              <w:bottom w:w="75" w:type="dxa"/>
              <w:right w:w="150" w:type="dxa"/>
            </w:tcMar>
            <w:vAlign w:val="center"/>
            <w:hideMark/>
          </w:tcPr>
          <w:p w14:paraId="2806A34B"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Shows Paul does address Ephesian social codes nearby</w:t>
            </w:r>
          </w:p>
        </w:tc>
      </w:tr>
      <w:tr w:rsidR="00A94C8F" w14:paraId="39296F7E" w14:textId="77777777">
        <w:tc>
          <w:tcPr>
            <w:tcW w:w="0" w:type="auto"/>
            <w:tcMar>
              <w:top w:w="75" w:type="dxa"/>
              <w:left w:w="150" w:type="dxa"/>
              <w:bottom w:w="75" w:type="dxa"/>
              <w:right w:w="150" w:type="dxa"/>
            </w:tcMar>
            <w:vAlign w:val="center"/>
            <w:hideMark/>
          </w:tcPr>
          <w:p w14:paraId="71F36B45"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2:11–12</w:t>
            </w:r>
          </w:p>
        </w:tc>
        <w:tc>
          <w:tcPr>
            <w:tcW w:w="0" w:type="auto"/>
            <w:tcMar>
              <w:top w:w="75" w:type="dxa"/>
              <w:left w:w="150" w:type="dxa"/>
              <w:bottom w:w="75" w:type="dxa"/>
              <w:right w:w="150" w:type="dxa"/>
            </w:tcMar>
            <w:vAlign w:val="center"/>
            <w:hideMark/>
          </w:tcPr>
          <w:p w14:paraId="22673D2A"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Learn quietly; no teaching/authority over man</w:t>
            </w:r>
          </w:p>
        </w:tc>
        <w:tc>
          <w:tcPr>
            <w:tcW w:w="0" w:type="auto"/>
            <w:tcMar>
              <w:top w:w="75" w:type="dxa"/>
              <w:left w:w="150" w:type="dxa"/>
              <w:bottom w:w="75" w:type="dxa"/>
              <w:right w:w="150" w:type="dxa"/>
            </w:tcMar>
            <w:vAlign w:val="center"/>
            <w:hideMark/>
          </w:tcPr>
          <w:p w14:paraId="6DA23AEA"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General syntactic rule</w:t>
            </w:r>
          </w:p>
        </w:tc>
        <w:tc>
          <w:tcPr>
            <w:tcW w:w="0" w:type="auto"/>
            <w:tcMar>
              <w:top w:w="75" w:type="dxa"/>
              <w:left w:w="150" w:type="dxa"/>
              <w:bottom w:w="75" w:type="dxa"/>
              <w:right w:w="150" w:type="dxa"/>
            </w:tcMar>
            <w:vAlign w:val="center"/>
            <w:hideMark/>
          </w:tcPr>
          <w:p w14:paraId="03BB07DE"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Text does not invoke Ephesus</w:t>
            </w:r>
          </w:p>
        </w:tc>
      </w:tr>
      <w:tr w:rsidR="00A94C8F" w14:paraId="6C2D6024" w14:textId="77777777">
        <w:tc>
          <w:tcPr>
            <w:tcW w:w="0" w:type="auto"/>
            <w:tcMar>
              <w:top w:w="75" w:type="dxa"/>
              <w:left w:w="150" w:type="dxa"/>
              <w:bottom w:w="75" w:type="dxa"/>
              <w:right w:w="150" w:type="dxa"/>
            </w:tcMar>
            <w:vAlign w:val="center"/>
            <w:hideMark/>
          </w:tcPr>
          <w:p w14:paraId="05A7162F"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2:13–14</w:t>
            </w:r>
          </w:p>
        </w:tc>
        <w:tc>
          <w:tcPr>
            <w:tcW w:w="0" w:type="auto"/>
            <w:tcMar>
              <w:top w:w="75" w:type="dxa"/>
              <w:left w:w="150" w:type="dxa"/>
              <w:bottom w:w="75" w:type="dxa"/>
              <w:right w:w="150" w:type="dxa"/>
            </w:tcMar>
            <w:vAlign w:val="center"/>
            <w:hideMark/>
          </w:tcPr>
          <w:p w14:paraId="760AC1A4"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Creation order plus deception</w:t>
            </w:r>
          </w:p>
        </w:tc>
        <w:tc>
          <w:tcPr>
            <w:tcW w:w="0" w:type="auto"/>
            <w:tcMar>
              <w:top w:w="75" w:type="dxa"/>
              <w:left w:w="150" w:type="dxa"/>
              <w:bottom w:w="75" w:type="dxa"/>
              <w:right w:w="150" w:type="dxa"/>
            </w:tcMar>
            <w:vAlign w:val="center"/>
            <w:hideMark/>
          </w:tcPr>
          <w:p w14:paraId="15B3B61A"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Explicit Genesis rationale</w:t>
            </w:r>
          </w:p>
        </w:tc>
        <w:tc>
          <w:tcPr>
            <w:tcW w:w="0" w:type="auto"/>
            <w:tcMar>
              <w:top w:w="75" w:type="dxa"/>
              <w:left w:w="150" w:type="dxa"/>
              <w:bottom w:w="75" w:type="dxa"/>
              <w:right w:w="150" w:type="dxa"/>
            </w:tcMar>
            <w:vAlign w:val="center"/>
            <w:hideMark/>
          </w:tcPr>
          <w:p w14:paraId="2A5DD126"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Strongest evidence against cultural grounding</w:t>
            </w:r>
          </w:p>
        </w:tc>
      </w:tr>
      <w:tr w:rsidR="00A94C8F" w14:paraId="55E0ABA1" w14:textId="77777777">
        <w:tc>
          <w:tcPr>
            <w:tcW w:w="0" w:type="auto"/>
            <w:tcMar>
              <w:top w:w="75" w:type="dxa"/>
              <w:left w:w="150" w:type="dxa"/>
              <w:bottom w:w="75" w:type="dxa"/>
              <w:right w:w="150" w:type="dxa"/>
            </w:tcMar>
            <w:vAlign w:val="center"/>
            <w:hideMark/>
          </w:tcPr>
          <w:p w14:paraId="23CE2DE8"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3:1–2; 5:17</w:t>
            </w:r>
          </w:p>
        </w:tc>
        <w:tc>
          <w:tcPr>
            <w:tcW w:w="0" w:type="auto"/>
            <w:tcMar>
              <w:top w:w="75" w:type="dxa"/>
              <w:left w:w="150" w:type="dxa"/>
              <w:bottom w:w="75" w:type="dxa"/>
              <w:right w:w="150" w:type="dxa"/>
            </w:tcMar>
            <w:vAlign w:val="center"/>
            <w:hideMark/>
          </w:tcPr>
          <w:p w14:paraId="37C3D541"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Overseer "able to teach"; elders labor in teaching</w:t>
            </w:r>
          </w:p>
        </w:tc>
        <w:tc>
          <w:tcPr>
            <w:tcW w:w="0" w:type="auto"/>
            <w:tcMar>
              <w:top w:w="75" w:type="dxa"/>
              <w:left w:w="150" w:type="dxa"/>
              <w:bottom w:w="75" w:type="dxa"/>
              <w:right w:w="150" w:type="dxa"/>
            </w:tcMar>
            <w:vAlign w:val="center"/>
            <w:hideMark/>
          </w:tcPr>
          <w:p w14:paraId="6ED8EC63"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Durable leadership architecture</w:t>
            </w:r>
          </w:p>
        </w:tc>
        <w:tc>
          <w:tcPr>
            <w:tcW w:w="0" w:type="auto"/>
            <w:tcMar>
              <w:top w:w="75" w:type="dxa"/>
              <w:left w:w="150" w:type="dxa"/>
              <w:bottom w:w="75" w:type="dxa"/>
              <w:right w:w="150" w:type="dxa"/>
            </w:tcMar>
            <w:vAlign w:val="center"/>
            <w:hideMark/>
          </w:tcPr>
          <w:p w14:paraId="12F180A3"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Pulls 2:12 toward office, not etiquette</w:t>
            </w:r>
          </w:p>
        </w:tc>
      </w:tr>
      <w:tr w:rsidR="00A94C8F" w14:paraId="47F2DD35" w14:textId="77777777">
        <w:tc>
          <w:tcPr>
            <w:tcW w:w="0" w:type="auto"/>
            <w:tcMar>
              <w:top w:w="75" w:type="dxa"/>
              <w:left w:w="150" w:type="dxa"/>
              <w:bottom w:w="75" w:type="dxa"/>
              <w:right w:w="150" w:type="dxa"/>
            </w:tcMar>
            <w:vAlign w:val="center"/>
            <w:hideMark/>
          </w:tcPr>
          <w:p w14:paraId="27252518"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5:13–15</w:t>
            </w:r>
          </w:p>
        </w:tc>
        <w:tc>
          <w:tcPr>
            <w:tcW w:w="0" w:type="auto"/>
            <w:tcMar>
              <w:top w:w="75" w:type="dxa"/>
              <w:left w:w="150" w:type="dxa"/>
              <w:bottom w:w="75" w:type="dxa"/>
              <w:right w:w="150" w:type="dxa"/>
            </w:tcMar>
            <w:vAlign w:val="center"/>
            <w:hideMark/>
          </w:tcPr>
          <w:p w14:paraId="570CC8E2"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Younger widows; avoid slander</w:t>
            </w:r>
          </w:p>
        </w:tc>
        <w:tc>
          <w:tcPr>
            <w:tcW w:w="0" w:type="auto"/>
            <w:tcMar>
              <w:top w:w="75" w:type="dxa"/>
              <w:left w:w="150" w:type="dxa"/>
              <w:bottom w:w="75" w:type="dxa"/>
              <w:right w:w="150" w:type="dxa"/>
            </w:tcMar>
            <w:vAlign w:val="center"/>
            <w:hideMark/>
          </w:tcPr>
          <w:p w14:paraId="208364AA" w14:textId="77777777" w:rsidR="00A94C8F" w:rsidRDefault="00A94C8F">
            <w:pPr>
              <w:spacing w:after="168"/>
              <w:rPr>
                <w:rFonts w:ascii="Segoe UI" w:hAnsi="Segoe UI" w:cs="Segoe UI"/>
                <w:color w:val="352F3D"/>
                <w:sz w:val="21"/>
                <w:szCs w:val="21"/>
              </w:rPr>
            </w:pPr>
            <w:r>
              <w:rPr>
                <w:rFonts w:ascii="Segoe UI" w:hAnsi="Segoe UI" w:cs="Segoe UI"/>
                <w:color w:val="352F3D"/>
                <w:sz w:val="21"/>
                <w:szCs w:val="21"/>
              </w:rPr>
              <w:t>Situational household dynamics</w:t>
            </w:r>
          </w:p>
        </w:tc>
        <w:tc>
          <w:tcPr>
            <w:tcW w:w="0" w:type="auto"/>
            <w:tcMar>
              <w:top w:w="75" w:type="dxa"/>
              <w:left w:w="150" w:type="dxa"/>
              <w:bottom w:w="75" w:type="dxa"/>
              <w:right w:w="150" w:type="dxa"/>
            </w:tcMar>
            <w:vAlign w:val="center"/>
            <w:hideMark/>
          </w:tcPr>
          <w:p w14:paraId="6BB98A13" w14:textId="32AF15FF" w:rsidR="00A94C8F" w:rsidRDefault="00A94C8F">
            <w:pPr>
              <w:spacing w:after="168"/>
              <w:rPr>
                <w:rFonts w:ascii="Segoe UI" w:hAnsi="Segoe UI" w:cs="Segoe UI"/>
                <w:color w:val="352F3D"/>
                <w:sz w:val="21"/>
                <w:szCs w:val="21"/>
              </w:rPr>
            </w:pPr>
            <w:r>
              <w:rPr>
                <w:rFonts w:ascii="Segoe UI" w:hAnsi="Segoe UI" w:cs="Segoe UI"/>
                <w:color w:val="352F3D"/>
                <w:sz w:val="21"/>
                <w:szCs w:val="21"/>
              </w:rPr>
              <w:t>Real local disorder, but Paul does not link it to 2:13–14</w:t>
            </w:r>
            <w:r w:rsidR="00DC1DB0">
              <w:rPr>
                <w:rFonts w:ascii="Segoe UI" w:hAnsi="Segoe UI" w:cs="Segoe UI"/>
                <w:color w:val="352F3D"/>
                <w:sz w:val="21"/>
                <w:szCs w:val="21"/>
              </w:rPr>
              <w:t>, nor does this indicate “abusive usurpation” of men in the church.</w:t>
            </w:r>
          </w:p>
        </w:tc>
      </w:tr>
    </w:tbl>
    <w:p w14:paraId="4B1D2015"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lastRenderedPageBreak/>
        <w:t>6.6 Judgment</w:t>
      </w:r>
    </w:p>
    <w:p w14:paraId="376499B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letter supports a mixed setting. Local disorder is real, and some instructions are socially inflected. But it supplies no internal evidence that 2:12 is driven primarily by Ephesian culture.</w:t>
      </w:r>
    </w:p>
    <w:p w14:paraId="29693A3A"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dominant internal signals are theological grounding (Genesis) and structural placement (chapter 3). Local factors plausibly shaped urgency and application rather than constituting Paul's stated rationale.</w:t>
      </w:r>
    </w:p>
    <w:p w14:paraId="44EB8083" w14:textId="77777777" w:rsidR="00A94C8F" w:rsidRDefault="00425303" w:rsidP="00A94C8F">
      <w:pPr>
        <w:rPr>
          <w:rFonts w:ascii="Segoe UI" w:hAnsi="Segoe UI" w:cs="Segoe UI"/>
          <w:sz w:val="21"/>
          <w:szCs w:val="21"/>
        </w:rPr>
      </w:pPr>
      <w:r>
        <w:pict w14:anchorId="3A4CEB66">
          <v:rect id="Rectangle 37" o:spid="_x0000_s2055"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ADF955"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Seven: Fitting the Wider Canon</w:t>
      </w:r>
    </w:p>
    <w:p w14:paraId="42430041" w14:textId="77777777" w:rsidR="00A94C8F" w:rsidRDefault="00A94C8F" w:rsidP="00A94C8F">
      <w:pPr>
        <w:pStyle w:val="Heading2"/>
        <w:spacing w:before="360" w:after="240"/>
        <w:rPr>
          <w:rFonts w:ascii="Segoe UI" w:hAnsi="Segoe UI" w:cs="Segoe UI"/>
          <w:color w:val="352F3D"/>
        </w:rPr>
      </w:pPr>
      <w:r>
        <w:rPr>
          <w:rFonts w:ascii="Segoe UI" w:hAnsi="Segoe UI" w:cs="Segoe UI"/>
          <w:color w:val="352F3D"/>
        </w:rPr>
        <w:t>7.1 Paul Affirms Women's Ministry</w:t>
      </w:r>
    </w:p>
    <w:p w14:paraId="1F6D974E" w14:textId="77777777" w:rsidR="00A94C8F" w:rsidRDefault="00A94C8F" w:rsidP="00A94C8F">
      <w:pPr>
        <w:pStyle w:val="code-line"/>
        <w:numPr>
          <w:ilvl w:val="0"/>
          <w:numId w:val="70"/>
        </w:numPr>
        <w:rPr>
          <w:rFonts w:ascii="Segoe UI" w:hAnsi="Segoe UI" w:cs="Segoe UI"/>
          <w:color w:val="352F3D"/>
          <w:sz w:val="21"/>
          <w:szCs w:val="21"/>
        </w:rPr>
      </w:pPr>
      <w:r>
        <w:rPr>
          <w:rFonts w:ascii="Segoe UI" w:hAnsi="Segoe UI" w:cs="Segoe UI"/>
          <w:color w:val="352F3D"/>
          <w:sz w:val="21"/>
          <w:szCs w:val="21"/>
        </w:rPr>
        <w:t>Women labor in the gospel (Philippians 4:2–3)</w:t>
      </w:r>
    </w:p>
    <w:p w14:paraId="4A524F12" w14:textId="77777777" w:rsidR="00A94C8F" w:rsidRDefault="00A94C8F" w:rsidP="00A94C8F">
      <w:pPr>
        <w:pStyle w:val="code-line"/>
        <w:numPr>
          <w:ilvl w:val="0"/>
          <w:numId w:val="70"/>
        </w:numPr>
        <w:rPr>
          <w:rFonts w:ascii="Segoe UI" w:hAnsi="Segoe UI" w:cs="Segoe UI"/>
          <w:color w:val="352F3D"/>
          <w:sz w:val="21"/>
          <w:szCs w:val="21"/>
        </w:rPr>
      </w:pPr>
      <w:r>
        <w:rPr>
          <w:rFonts w:ascii="Segoe UI" w:hAnsi="Segoe UI" w:cs="Segoe UI"/>
          <w:color w:val="352F3D"/>
          <w:sz w:val="21"/>
          <w:szCs w:val="21"/>
        </w:rPr>
        <w:t>Women pray and prophesy (1 Corinthians 11:5) with appropriate order</w:t>
      </w:r>
    </w:p>
    <w:p w14:paraId="52B0472B" w14:textId="2A16A919" w:rsidR="00A94C8F" w:rsidRDefault="00A94C8F" w:rsidP="00A94C8F">
      <w:pPr>
        <w:pStyle w:val="code-line"/>
        <w:numPr>
          <w:ilvl w:val="0"/>
          <w:numId w:val="70"/>
        </w:numPr>
        <w:rPr>
          <w:rFonts w:ascii="Segoe UI" w:hAnsi="Segoe UI" w:cs="Segoe UI"/>
          <w:color w:val="352F3D"/>
          <w:sz w:val="21"/>
          <w:szCs w:val="21"/>
        </w:rPr>
      </w:pPr>
      <w:r>
        <w:rPr>
          <w:rFonts w:ascii="Segoe UI" w:hAnsi="Segoe UI" w:cs="Segoe UI"/>
          <w:color w:val="352F3D"/>
          <w:sz w:val="21"/>
          <w:szCs w:val="21"/>
        </w:rPr>
        <w:t>Phoebe is a </w:t>
      </w:r>
      <w:r>
        <w:rPr>
          <w:rStyle w:val="Emphasis"/>
          <w:rFonts w:ascii="Segoe UI" w:hAnsi="Segoe UI" w:cs="Segoe UI"/>
          <w:color w:val="352F3D"/>
          <w:sz w:val="21"/>
          <w:szCs w:val="21"/>
        </w:rPr>
        <w:t>diakonos</w:t>
      </w:r>
      <w:r>
        <w:rPr>
          <w:rFonts w:ascii="Segoe UI" w:hAnsi="Segoe UI" w:cs="Segoe UI"/>
          <w:color w:val="352F3D"/>
          <w:sz w:val="21"/>
          <w:szCs w:val="21"/>
        </w:rPr>
        <w:t> </w:t>
      </w:r>
      <w:r w:rsidR="00194213">
        <w:rPr>
          <w:rFonts w:ascii="Segoe UI" w:hAnsi="Segoe UI" w:cs="Segoe UI"/>
          <w:color w:val="352F3D"/>
          <w:sz w:val="21"/>
          <w:szCs w:val="21"/>
        </w:rPr>
        <w:t xml:space="preserve">(i.e. a servant) </w:t>
      </w:r>
      <w:r>
        <w:rPr>
          <w:rFonts w:ascii="Segoe UI" w:hAnsi="Segoe UI" w:cs="Segoe UI"/>
          <w:color w:val="352F3D"/>
          <w:sz w:val="21"/>
          <w:szCs w:val="21"/>
        </w:rPr>
        <w:t>of the church at Cenchrea (Romans 16:1)</w:t>
      </w:r>
      <w:r w:rsidR="00194213">
        <w:rPr>
          <w:rFonts w:ascii="Segoe UI" w:hAnsi="Segoe UI" w:cs="Segoe UI"/>
          <w:color w:val="352F3D"/>
          <w:sz w:val="21"/>
          <w:szCs w:val="21"/>
        </w:rPr>
        <w:t xml:space="preserve">, though Paul is most </w:t>
      </w:r>
      <w:r w:rsidR="00F675D5">
        <w:rPr>
          <w:rFonts w:ascii="Segoe UI" w:hAnsi="Segoe UI" w:cs="Segoe UI"/>
          <w:color w:val="352F3D"/>
          <w:sz w:val="21"/>
          <w:szCs w:val="21"/>
        </w:rPr>
        <w:t>contextually</w:t>
      </w:r>
      <w:r w:rsidR="00194213">
        <w:rPr>
          <w:rFonts w:ascii="Segoe UI" w:hAnsi="Segoe UI" w:cs="Segoe UI"/>
          <w:color w:val="352F3D"/>
          <w:sz w:val="21"/>
          <w:szCs w:val="21"/>
        </w:rPr>
        <w:t xml:space="preserve"> invoking “complementary praise” </w:t>
      </w:r>
      <w:r w:rsidR="00F675D5">
        <w:rPr>
          <w:rFonts w:ascii="Segoe UI" w:hAnsi="Segoe UI" w:cs="Segoe UI"/>
          <w:color w:val="352F3D"/>
          <w:sz w:val="21"/>
          <w:szCs w:val="21"/>
        </w:rPr>
        <w:t>rather than</w:t>
      </w:r>
      <w:r w:rsidR="00194213">
        <w:rPr>
          <w:rFonts w:ascii="Segoe UI" w:hAnsi="Segoe UI" w:cs="Segoe UI"/>
          <w:color w:val="352F3D"/>
          <w:sz w:val="21"/>
          <w:szCs w:val="21"/>
        </w:rPr>
        <w:t xml:space="preserve"> recognition of church office.</w:t>
      </w:r>
    </w:p>
    <w:p w14:paraId="4FA73076" w14:textId="77777777" w:rsidR="00A94C8F" w:rsidRDefault="00A94C8F" w:rsidP="00A94C8F">
      <w:pPr>
        <w:pStyle w:val="code-line"/>
        <w:numPr>
          <w:ilvl w:val="0"/>
          <w:numId w:val="70"/>
        </w:numPr>
        <w:rPr>
          <w:rFonts w:ascii="Segoe UI" w:hAnsi="Segoe UI" w:cs="Segoe UI"/>
          <w:color w:val="352F3D"/>
          <w:sz w:val="21"/>
          <w:szCs w:val="21"/>
        </w:rPr>
      </w:pPr>
      <w:r>
        <w:rPr>
          <w:rFonts w:ascii="Segoe UI" w:hAnsi="Segoe UI" w:cs="Segoe UI"/>
          <w:color w:val="352F3D"/>
          <w:sz w:val="21"/>
          <w:szCs w:val="21"/>
        </w:rPr>
        <w:t>Paul commends numerous women coworkers (Romans 16)</w:t>
      </w:r>
    </w:p>
    <w:p w14:paraId="5BFAF1A9" w14:textId="77777777" w:rsidR="00A94C8F" w:rsidRDefault="00A94C8F" w:rsidP="00A94C8F">
      <w:pPr>
        <w:pStyle w:val="code-line"/>
        <w:numPr>
          <w:ilvl w:val="0"/>
          <w:numId w:val="70"/>
        </w:numPr>
        <w:rPr>
          <w:rFonts w:ascii="Segoe UI" w:hAnsi="Segoe UI" w:cs="Segoe UI"/>
          <w:color w:val="352F3D"/>
          <w:sz w:val="21"/>
          <w:szCs w:val="21"/>
        </w:rPr>
      </w:pPr>
      <w:r>
        <w:rPr>
          <w:rFonts w:ascii="Segoe UI" w:hAnsi="Segoe UI" w:cs="Segoe UI"/>
          <w:color w:val="352F3D"/>
          <w:sz w:val="21"/>
          <w:szCs w:val="21"/>
        </w:rPr>
        <w:t>Older women teach and train younger women (Titus 2:3–5)</w:t>
      </w:r>
    </w:p>
    <w:p w14:paraId="4515D595"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Whatever 1 Timothy 2:12 means, it cannot mean women do nothing or have no voice.</w:t>
      </w:r>
    </w:p>
    <w:p w14:paraId="71AF9243"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7.2 Paul Also Guards Ordered Teaching</w:t>
      </w:r>
    </w:p>
    <w:p w14:paraId="778B0C12"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gathered-church teaching that defines doctrine and binds conscience is treated as serious and guarded (Galatians 1; 1 Corinthians 15; the Pastorals). Elders and overseers are charged to teach, refute error, and shepherd.</w:t>
      </w:r>
    </w:p>
    <w:p w14:paraId="2C5B18C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So 2:11–15 sits at the intersection of women's real participation and the church's need for protected, ordered doctrinal authority.</w:t>
      </w:r>
    </w:p>
    <w:p w14:paraId="3DD28F71"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7.3 Reconciling 1 Corinthians 11:5 with 14:34</w:t>
      </w:r>
    </w:p>
    <w:p w14:paraId="51D5B34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is the sharpest internal tension and deserves a direct answer rather than silence.</w:t>
      </w:r>
    </w:p>
    <w:p w14:paraId="0E4B5A6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Prophecy and teaching are distinct functions. Note 14:29: "Two or three prophets should speak and </w:t>
      </w:r>
      <w:r>
        <w:rPr>
          <w:rStyle w:val="Strong"/>
          <w:rFonts w:ascii="Segoe UI" w:hAnsi="Segoe UI" w:cs="Segoe UI"/>
          <w:color w:val="352F3D"/>
          <w:sz w:val="21"/>
          <w:szCs w:val="21"/>
        </w:rPr>
        <w:t>the others should evaluate</w:t>
      </w:r>
      <w:r>
        <w:rPr>
          <w:rFonts w:ascii="Segoe UI" w:hAnsi="Segoe UI" w:cs="Segoe UI"/>
          <w:color w:val="352F3D"/>
          <w:sz w:val="21"/>
          <w:szCs w:val="21"/>
        </w:rPr>
        <w:t> what is said." Prophecy is received and then submitted to evaluation. The evaluating function is the governing one.</w:t>
      </w:r>
    </w:p>
    <w:p w14:paraId="7BD6D57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placement of 14:34–35 is telling. It follows immediately upon the instruction about weighing prophecy, and v.35 concerns asking questions ("if they want to find out about something, they should ask their husbands at home"). Read in context, the restriction addresses the authoritative judging function and disruptive interrogation, not speech as such.</w:t>
      </w:r>
    </w:p>
    <w:p w14:paraId="7BC7FFBB" w14:textId="6C10D485"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On this reading, 11:5 and 14:34 concern different acts. Both stand. Neither </w:t>
      </w:r>
      <w:r w:rsidR="00202124">
        <w:rPr>
          <w:rFonts w:ascii="Segoe UI" w:hAnsi="Segoe UI" w:cs="Segoe UI"/>
          <w:color w:val="352F3D"/>
          <w:sz w:val="21"/>
          <w:szCs w:val="21"/>
        </w:rPr>
        <w:t>must</w:t>
      </w:r>
      <w:r>
        <w:rPr>
          <w:rFonts w:ascii="Segoe UI" w:hAnsi="Segoe UI" w:cs="Segoe UI"/>
          <w:color w:val="352F3D"/>
          <w:sz w:val="21"/>
          <w:szCs w:val="21"/>
        </w:rPr>
        <w:t xml:space="preserve"> be explained away.</w:t>
      </w:r>
    </w:p>
    <w:p w14:paraId="42AAB07B"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7.4 Whole-Bible Synthesis</w:t>
      </w:r>
    </w:p>
    <w:p w14:paraId="294128CA" w14:textId="471238EF" w:rsidR="00A94C8F" w:rsidRDefault="00A94C8F" w:rsidP="00A94C8F">
      <w:pPr>
        <w:pStyle w:val="code-line"/>
        <w:numPr>
          <w:ilvl w:val="0"/>
          <w:numId w:val="71"/>
        </w:numPr>
        <w:rPr>
          <w:rFonts w:ascii="Segoe UI" w:hAnsi="Segoe UI" w:cs="Segoe UI"/>
          <w:color w:val="352F3D"/>
          <w:sz w:val="21"/>
          <w:szCs w:val="21"/>
        </w:rPr>
      </w:pPr>
      <w:r>
        <w:rPr>
          <w:rStyle w:val="Strong"/>
          <w:rFonts w:ascii="Segoe UI" w:hAnsi="Segoe UI" w:cs="Segoe UI"/>
          <w:color w:val="352F3D"/>
          <w:sz w:val="21"/>
          <w:szCs w:val="21"/>
        </w:rPr>
        <w:t>Creation</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male and female equally bear God's image (Genesis 1:27). Any reading implying female inferiority is wrong.</w:t>
      </w:r>
    </w:p>
    <w:p w14:paraId="43C69983" w14:textId="3D9C2698" w:rsidR="00A94C8F" w:rsidRDefault="00A94C8F" w:rsidP="00A94C8F">
      <w:pPr>
        <w:pStyle w:val="code-line"/>
        <w:numPr>
          <w:ilvl w:val="0"/>
          <w:numId w:val="71"/>
        </w:numPr>
        <w:rPr>
          <w:rFonts w:ascii="Segoe UI" w:hAnsi="Segoe UI" w:cs="Segoe UI"/>
          <w:color w:val="352F3D"/>
          <w:sz w:val="21"/>
          <w:szCs w:val="21"/>
        </w:rPr>
      </w:pPr>
      <w:r>
        <w:rPr>
          <w:rStyle w:val="Strong"/>
          <w:rFonts w:ascii="Segoe UI" w:hAnsi="Segoe UI" w:cs="Segoe UI"/>
          <w:color w:val="352F3D"/>
          <w:sz w:val="21"/>
          <w:szCs w:val="21"/>
        </w:rPr>
        <w:t>Fall</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deception and disorder enter; grasping, domination, and blame rupture relationships (Genesis 3).</w:t>
      </w:r>
    </w:p>
    <w:p w14:paraId="34FBFF0C" w14:textId="424C4719" w:rsidR="00A94C8F" w:rsidRDefault="00A94C8F" w:rsidP="00A94C8F">
      <w:pPr>
        <w:pStyle w:val="code-line"/>
        <w:numPr>
          <w:ilvl w:val="0"/>
          <w:numId w:val="71"/>
        </w:numPr>
        <w:rPr>
          <w:rFonts w:ascii="Segoe UI" w:hAnsi="Segoe UI" w:cs="Segoe UI"/>
          <w:color w:val="352F3D"/>
          <w:sz w:val="21"/>
          <w:szCs w:val="21"/>
        </w:rPr>
      </w:pPr>
      <w:r>
        <w:rPr>
          <w:rStyle w:val="Strong"/>
          <w:rFonts w:ascii="Segoe UI" w:hAnsi="Segoe UI" w:cs="Segoe UI"/>
          <w:color w:val="352F3D"/>
          <w:sz w:val="21"/>
          <w:szCs w:val="21"/>
        </w:rPr>
        <w:t>Redemption</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women are honored as disciples, witnesses, and coworkers.</w:t>
      </w:r>
    </w:p>
    <w:p w14:paraId="42743BA3" w14:textId="3AF9EA3B" w:rsidR="00A94C8F" w:rsidRDefault="00A94C8F" w:rsidP="00A94C8F">
      <w:pPr>
        <w:pStyle w:val="code-line"/>
        <w:numPr>
          <w:ilvl w:val="0"/>
          <w:numId w:val="71"/>
        </w:numPr>
        <w:rPr>
          <w:rFonts w:ascii="Segoe UI" w:hAnsi="Segoe UI" w:cs="Segoe UI"/>
          <w:color w:val="352F3D"/>
          <w:sz w:val="21"/>
          <w:szCs w:val="21"/>
        </w:rPr>
      </w:pPr>
      <w:r>
        <w:rPr>
          <w:rStyle w:val="Strong"/>
          <w:rFonts w:ascii="Segoe UI" w:hAnsi="Segoe UI" w:cs="Segoe UI"/>
          <w:color w:val="352F3D"/>
          <w:sz w:val="21"/>
          <w:szCs w:val="21"/>
        </w:rPr>
        <w:lastRenderedPageBreak/>
        <w:t>Church order</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the New Testament insists the church be protected from false teaching and worship in peace and good order.</w:t>
      </w:r>
    </w:p>
    <w:p w14:paraId="0020B29D" w14:textId="0EC0DE0D" w:rsidR="00A94C8F" w:rsidRDefault="00A94C8F" w:rsidP="00A94C8F">
      <w:pPr>
        <w:pStyle w:val="code-line"/>
        <w:numPr>
          <w:ilvl w:val="0"/>
          <w:numId w:val="71"/>
        </w:numPr>
        <w:rPr>
          <w:rFonts w:ascii="Segoe UI" w:hAnsi="Segoe UI" w:cs="Segoe UI"/>
          <w:color w:val="352F3D"/>
          <w:sz w:val="21"/>
          <w:szCs w:val="21"/>
        </w:rPr>
      </w:pPr>
      <w:r>
        <w:rPr>
          <w:rStyle w:val="Strong"/>
          <w:rFonts w:ascii="Segoe UI" w:hAnsi="Segoe UI" w:cs="Segoe UI"/>
          <w:color w:val="352F3D"/>
          <w:sz w:val="21"/>
          <w:szCs w:val="21"/>
        </w:rPr>
        <w:t>New creation</w:t>
      </w:r>
      <w:r>
        <w:rPr>
          <w:rFonts w:ascii="Segoe UI" w:hAnsi="Segoe UI" w:cs="Segoe UI"/>
          <w:color w:val="352F3D"/>
          <w:sz w:val="21"/>
          <w:szCs w:val="21"/>
        </w:rPr>
        <w:t> </w:t>
      </w:r>
      <w:r w:rsidR="00202124">
        <w:rPr>
          <w:rFonts w:ascii="Segoe UI" w:hAnsi="Segoe UI" w:cs="Segoe UI"/>
          <w:color w:val="352F3D"/>
          <w:sz w:val="21"/>
          <w:szCs w:val="21"/>
        </w:rPr>
        <w:t>-</w:t>
      </w:r>
      <w:r>
        <w:rPr>
          <w:rFonts w:ascii="Segoe UI" w:hAnsi="Segoe UI" w:cs="Segoe UI"/>
          <w:color w:val="352F3D"/>
          <w:sz w:val="21"/>
          <w:szCs w:val="21"/>
        </w:rPr>
        <w:t xml:space="preserve"> redeemed humanity shares in Christ's reign (Revelation 22:5). Present structures function as safeguards and signs pointing toward a restored household.</w:t>
      </w:r>
    </w:p>
    <w:p w14:paraId="0170CEB6" w14:textId="77777777" w:rsidR="00A94C8F" w:rsidRDefault="00425303" w:rsidP="00A94C8F">
      <w:pPr>
        <w:rPr>
          <w:rFonts w:ascii="Segoe UI" w:hAnsi="Segoe UI" w:cs="Segoe UI"/>
          <w:sz w:val="21"/>
          <w:szCs w:val="21"/>
        </w:rPr>
      </w:pPr>
      <w:r>
        <w:pict w14:anchorId="44C23E8A">
          <v:rect id="Rectangle 35" o:spid="_x0000_s2054"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B6CCE5"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Eight: The Argument from Apostolic Appointment</w:t>
      </w:r>
    </w:p>
    <w:p w14:paraId="02DF5EEC" w14:textId="77777777" w:rsidR="00A94C8F" w:rsidRDefault="00A94C8F" w:rsidP="00A94C8F">
      <w:pPr>
        <w:pStyle w:val="Heading2"/>
        <w:spacing w:before="360" w:after="240"/>
        <w:rPr>
          <w:rFonts w:ascii="Segoe UI" w:hAnsi="Segoe UI" w:cs="Segoe UI"/>
          <w:color w:val="352F3D"/>
        </w:rPr>
      </w:pPr>
      <w:r>
        <w:rPr>
          <w:rFonts w:ascii="Segoe UI" w:hAnsi="Segoe UI" w:cs="Segoe UI"/>
          <w:color w:val="352F3D"/>
        </w:rPr>
        <w:t>8.1 The Underlying Question</w:t>
      </w:r>
    </w:p>
    <w:p w14:paraId="4E4947D8"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Where does teaching authority in the church come from?</w:t>
      </w:r>
    </w:p>
    <w:p w14:paraId="6C560794" w14:textId="753B8BDB"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There are two possible answers. Either it is </w:t>
      </w:r>
      <w:r>
        <w:rPr>
          <w:rStyle w:val="Strong"/>
          <w:rFonts w:ascii="Segoe UI" w:hAnsi="Segoe UI" w:cs="Segoe UI"/>
          <w:color w:val="352F3D"/>
          <w:sz w:val="21"/>
          <w:szCs w:val="21"/>
        </w:rPr>
        <w:t>conferred</w:t>
      </w:r>
      <w:r>
        <w:rPr>
          <w:rFonts w:ascii="Segoe UI" w:hAnsi="Segoe UI" w:cs="Segoe UI"/>
          <w:color w:val="352F3D"/>
          <w:sz w:val="21"/>
          <w:szCs w:val="21"/>
        </w:rPr>
        <w:t> </w:t>
      </w:r>
      <w:r w:rsidR="00446601">
        <w:rPr>
          <w:rFonts w:ascii="Segoe UI" w:hAnsi="Segoe UI" w:cs="Segoe UI"/>
          <w:color w:val="352F3D"/>
          <w:sz w:val="21"/>
          <w:szCs w:val="21"/>
        </w:rPr>
        <w:t xml:space="preserve">(i.e. </w:t>
      </w:r>
      <w:r>
        <w:rPr>
          <w:rFonts w:ascii="Segoe UI" w:hAnsi="Segoe UI" w:cs="Segoe UI"/>
          <w:color w:val="352F3D"/>
          <w:sz w:val="21"/>
          <w:szCs w:val="21"/>
        </w:rPr>
        <w:t>delivered by appointment, handed down, received</w:t>
      </w:r>
      <w:r w:rsidR="00446601">
        <w:rPr>
          <w:rFonts w:ascii="Segoe UI" w:hAnsi="Segoe UI" w:cs="Segoe UI"/>
          <w:color w:val="352F3D"/>
          <w:sz w:val="21"/>
          <w:szCs w:val="21"/>
        </w:rPr>
        <w:t>) o</w:t>
      </w:r>
      <w:r>
        <w:rPr>
          <w:rFonts w:ascii="Segoe UI" w:hAnsi="Segoe UI" w:cs="Segoe UI"/>
          <w:color w:val="352F3D"/>
          <w:sz w:val="21"/>
          <w:szCs w:val="21"/>
        </w:rPr>
        <w:t>r it is </w:t>
      </w:r>
      <w:r>
        <w:rPr>
          <w:rStyle w:val="Strong"/>
          <w:rFonts w:ascii="Segoe UI" w:hAnsi="Segoe UI" w:cs="Segoe UI"/>
          <w:color w:val="352F3D"/>
          <w:sz w:val="21"/>
          <w:szCs w:val="21"/>
        </w:rPr>
        <w:t>generated</w:t>
      </w:r>
      <w:r>
        <w:rPr>
          <w:rFonts w:ascii="Segoe UI" w:hAnsi="Segoe UI" w:cs="Segoe UI"/>
          <w:color w:val="352F3D"/>
          <w:sz w:val="21"/>
          <w:szCs w:val="21"/>
        </w:rPr>
        <w:t> </w:t>
      </w:r>
      <w:r w:rsidR="00446601">
        <w:rPr>
          <w:rFonts w:ascii="Segoe UI" w:hAnsi="Segoe UI" w:cs="Segoe UI"/>
          <w:color w:val="352F3D"/>
          <w:sz w:val="21"/>
          <w:szCs w:val="21"/>
        </w:rPr>
        <w:t xml:space="preserve">(i.e. </w:t>
      </w:r>
      <w:r>
        <w:rPr>
          <w:rFonts w:ascii="Segoe UI" w:hAnsi="Segoe UI" w:cs="Segoe UI"/>
          <w:color w:val="352F3D"/>
          <w:sz w:val="21"/>
          <w:szCs w:val="21"/>
        </w:rPr>
        <w:t>produced by gifting, sincerity, demonstrated results, or cultural progress</w:t>
      </w:r>
      <w:r w:rsidR="00446601">
        <w:rPr>
          <w:rFonts w:ascii="Segoe UI" w:hAnsi="Segoe UI" w:cs="Segoe UI"/>
          <w:color w:val="352F3D"/>
          <w:sz w:val="21"/>
          <w:szCs w:val="21"/>
        </w:rPr>
        <w:t>)</w:t>
      </w:r>
      <w:r>
        <w:rPr>
          <w:rFonts w:ascii="Segoe UI" w:hAnsi="Segoe UI" w:cs="Segoe UI"/>
          <w:color w:val="352F3D"/>
          <w:sz w:val="21"/>
          <w:szCs w:val="21"/>
        </w:rPr>
        <w:t>.</w:t>
      </w:r>
    </w:p>
    <w:p w14:paraId="3B6DAF01" w14:textId="0E1510D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Every historic argument </w:t>
      </w:r>
      <w:r w:rsidRPr="00446601">
        <w:rPr>
          <w:rFonts w:ascii="Segoe UI" w:hAnsi="Segoe UI" w:cs="Segoe UI"/>
          <w:i/>
          <w:iCs/>
          <w:color w:val="352F3D"/>
          <w:sz w:val="21"/>
          <w:szCs w:val="21"/>
        </w:rPr>
        <w:t>against the reading advanced her</w:t>
      </w:r>
      <w:r w:rsidR="00446601">
        <w:rPr>
          <w:rFonts w:ascii="Segoe UI" w:hAnsi="Segoe UI" w:cs="Segoe UI"/>
          <w:i/>
          <w:iCs/>
          <w:color w:val="352F3D"/>
          <w:sz w:val="21"/>
          <w:szCs w:val="21"/>
        </w:rPr>
        <w:t>ein</w:t>
      </w:r>
      <w:r>
        <w:rPr>
          <w:rFonts w:ascii="Segoe UI" w:hAnsi="Segoe UI" w:cs="Segoe UI"/>
          <w:color w:val="352F3D"/>
          <w:sz w:val="21"/>
          <w:szCs w:val="21"/>
        </w:rPr>
        <w:t xml:space="preserve"> takes the second answer, though the vocabulary changes by era</w:t>
      </w:r>
      <w:r w:rsidR="00446601">
        <w:rPr>
          <w:rFonts w:ascii="Segoe UI" w:hAnsi="Segoe UI" w:cs="Segoe UI"/>
          <w:color w:val="352F3D"/>
          <w:sz w:val="21"/>
          <w:szCs w:val="21"/>
        </w:rPr>
        <w:t xml:space="preserve"> (e.g. </w:t>
      </w:r>
      <w:r>
        <w:rPr>
          <w:rFonts w:ascii="Segoe UI" w:hAnsi="Segoe UI" w:cs="Segoe UI"/>
          <w:color w:val="352F3D"/>
          <w:sz w:val="21"/>
          <w:szCs w:val="21"/>
        </w:rPr>
        <w:t xml:space="preserve">direct revelation among the Montanists and later the Quakers; demonstrated fruit in nineteenth-century revivalism; reconstructed background or redemptive trajectory </w:t>
      </w:r>
      <w:r w:rsidR="00446601">
        <w:rPr>
          <w:rFonts w:ascii="Segoe UI" w:hAnsi="Segoe UI" w:cs="Segoe UI"/>
          <w:color w:val="352F3D"/>
          <w:sz w:val="21"/>
          <w:szCs w:val="21"/>
        </w:rPr>
        <w:t xml:space="preserve">or even egalitarian ideology </w:t>
      </w:r>
      <w:r>
        <w:rPr>
          <w:rFonts w:ascii="Segoe UI" w:hAnsi="Segoe UI" w:cs="Segoe UI"/>
          <w:color w:val="352F3D"/>
          <w:sz w:val="21"/>
          <w:szCs w:val="21"/>
        </w:rPr>
        <w:t>in modern scholarship</w:t>
      </w:r>
      <w:r w:rsidR="00446601">
        <w:rPr>
          <w:rFonts w:ascii="Segoe UI" w:hAnsi="Segoe UI" w:cs="Segoe UI"/>
          <w:color w:val="352F3D"/>
          <w:sz w:val="21"/>
          <w:szCs w:val="21"/>
        </w:rPr>
        <w:t>)</w:t>
      </w:r>
      <w:r>
        <w:rPr>
          <w:rFonts w:ascii="Segoe UI" w:hAnsi="Segoe UI" w:cs="Segoe UI"/>
          <w:color w:val="352F3D"/>
          <w:sz w:val="21"/>
          <w:szCs w:val="21"/>
        </w:rPr>
        <w:t>.</w:t>
      </w:r>
    </w:p>
    <w:p w14:paraId="79DF84F6"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8.2 Paul Closes That Door</w:t>
      </w:r>
    </w:p>
    <w:p w14:paraId="0EFCDC23"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Writing on this very subject, in the passage under dispute:</w:t>
      </w:r>
    </w:p>
    <w:p w14:paraId="1595ED7B" w14:textId="77777777" w:rsidR="00A94C8F" w:rsidRPr="00202124" w:rsidRDefault="00A94C8F" w:rsidP="00A94C8F">
      <w:pPr>
        <w:pStyle w:val="code-line"/>
        <w:spacing w:before="0" w:beforeAutospacing="0" w:after="240" w:afterAutospacing="0"/>
        <w:rPr>
          <w:rFonts w:ascii="Segoe UI" w:hAnsi="Segoe UI" w:cs="Segoe UI"/>
          <w:i/>
          <w:iCs/>
          <w:color w:val="352F3D"/>
          <w:sz w:val="21"/>
          <w:szCs w:val="21"/>
        </w:rPr>
      </w:pPr>
      <w:r w:rsidRPr="00202124">
        <w:rPr>
          <w:rFonts w:ascii="Segoe UI" w:hAnsi="Segoe UI" w:cs="Segoe UI"/>
          <w:i/>
          <w:iCs/>
          <w:color w:val="352F3D"/>
          <w:sz w:val="21"/>
          <w:szCs w:val="21"/>
        </w:rPr>
        <w:t xml:space="preserve">If anyone considers himself a prophet or spiritual person, he should acknowledge that what I write to you is the Lord's command. If someone does not recognize this, he is not recognized. </w:t>
      </w:r>
      <w:r w:rsidRPr="00202124">
        <w:rPr>
          <w:rFonts w:ascii="Segoe UI" w:hAnsi="Segoe UI" w:cs="Segoe UI"/>
          <w:b/>
          <w:bCs/>
          <w:i/>
          <w:iCs/>
          <w:color w:val="352F3D"/>
          <w:sz w:val="21"/>
          <w:szCs w:val="21"/>
        </w:rPr>
        <w:t>(1 Corinthians 14:37–38</w:t>
      </w:r>
      <w:r w:rsidRPr="00202124">
        <w:rPr>
          <w:rFonts w:ascii="Segoe UI" w:hAnsi="Segoe UI" w:cs="Segoe UI"/>
          <w:i/>
          <w:iCs/>
          <w:color w:val="352F3D"/>
          <w:sz w:val="21"/>
          <w:szCs w:val="21"/>
        </w:rPr>
        <w:t>)</w:t>
      </w:r>
    </w:p>
    <w:p w14:paraId="33C43517" w14:textId="1D46B2CF"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Paul names the two credentials most likely to be raised against him </w:t>
      </w:r>
      <w:r w:rsidR="00446601">
        <w:rPr>
          <w:rFonts w:ascii="Segoe UI" w:hAnsi="Segoe UI" w:cs="Segoe UI"/>
          <w:color w:val="352F3D"/>
          <w:sz w:val="21"/>
          <w:szCs w:val="21"/>
        </w:rPr>
        <w:t xml:space="preserve">(i.e. </w:t>
      </w:r>
      <w:r>
        <w:rPr>
          <w:rFonts w:ascii="Segoe UI" w:hAnsi="Segoe UI" w:cs="Segoe UI"/>
          <w:color w:val="352F3D"/>
          <w:sz w:val="21"/>
          <w:szCs w:val="21"/>
        </w:rPr>
        <w:t>prophetic gifting and spiritual maturity</w:t>
      </w:r>
      <w:r w:rsidR="00446601">
        <w:rPr>
          <w:rFonts w:ascii="Segoe UI" w:hAnsi="Segoe UI" w:cs="Segoe UI"/>
          <w:color w:val="352F3D"/>
          <w:sz w:val="21"/>
          <w:szCs w:val="21"/>
        </w:rPr>
        <w:t xml:space="preserve">) </w:t>
      </w:r>
      <w:r>
        <w:rPr>
          <w:rFonts w:ascii="Segoe UI" w:hAnsi="Segoe UI" w:cs="Segoe UI"/>
          <w:color w:val="352F3D"/>
          <w:sz w:val="21"/>
          <w:szCs w:val="21"/>
        </w:rPr>
        <w:t>and subordinates both to apostolic writing. He does not deny his readers have gifts; the Corinthians' gifts were real. He denies that gifts adjudicate order.</w:t>
      </w:r>
    </w:p>
    <w:p w14:paraId="0935900C"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8.3 The Pattern Is Deposit and Handoff</w:t>
      </w:r>
    </w:p>
    <w:p w14:paraId="14AB2263" w14:textId="77777777" w:rsidR="00314084"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Paul's own standing rests on appointment rather than attainment: </w:t>
      </w:r>
    </w:p>
    <w:p w14:paraId="66E3C3EB" w14:textId="2AEB01A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w:t>
      </w:r>
      <w:r w:rsidRPr="00202124">
        <w:rPr>
          <w:rFonts w:ascii="Segoe UI" w:hAnsi="Segoe UI" w:cs="Segoe UI"/>
          <w:i/>
          <w:iCs/>
          <w:color w:val="352F3D"/>
          <w:sz w:val="21"/>
          <w:szCs w:val="21"/>
        </w:rPr>
        <w:t>For this I was appointed a preacher and apostle" (1 Timothy 2:7)</w:t>
      </w:r>
      <w:r>
        <w:rPr>
          <w:rFonts w:ascii="Segoe UI" w:hAnsi="Segoe UI" w:cs="Segoe UI"/>
          <w:color w:val="352F3D"/>
          <w:sz w:val="21"/>
          <w:szCs w:val="21"/>
        </w:rPr>
        <w:t>. He describes teaching as transmitted property: "</w:t>
      </w:r>
      <w:r w:rsidRPr="00202124">
        <w:rPr>
          <w:rFonts w:ascii="Segoe UI" w:hAnsi="Segoe UI" w:cs="Segoe UI"/>
          <w:i/>
          <w:iCs/>
          <w:color w:val="352F3D"/>
          <w:sz w:val="21"/>
          <w:szCs w:val="21"/>
        </w:rPr>
        <w:t>you remember me in everything and maintain the traditions just as I passed them on to you" (1 Corinthians 11:2)</w:t>
      </w:r>
      <w:r>
        <w:rPr>
          <w:rFonts w:ascii="Segoe UI" w:hAnsi="Segoe UI" w:cs="Segoe UI"/>
          <w:color w:val="352F3D"/>
          <w:sz w:val="21"/>
          <w:szCs w:val="21"/>
        </w:rPr>
        <w:t>.</w:t>
      </w:r>
    </w:p>
    <w:p w14:paraId="4AE00AFA"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8.4 Why the Slavery Analogy Does Not Transfer</w:t>
      </w:r>
    </w:p>
    <w:p w14:paraId="1011F549" w14:textId="5241A176"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A common argument holds that Scripture regulated slavery without condemning it, that the church eventually moved past slavery, and that </w:t>
      </w:r>
      <w:r w:rsidR="00446601">
        <w:rPr>
          <w:rFonts w:ascii="Segoe UI" w:hAnsi="Segoe UI" w:cs="Segoe UI"/>
          <w:color w:val="352F3D"/>
          <w:sz w:val="21"/>
          <w:szCs w:val="21"/>
        </w:rPr>
        <w:t xml:space="preserve">historic </w:t>
      </w:r>
      <w:r>
        <w:rPr>
          <w:rFonts w:ascii="Segoe UI" w:hAnsi="Segoe UI" w:cs="Segoe UI"/>
          <w:color w:val="352F3D"/>
          <w:sz w:val="21"/>
          <w:szCs w:val="21"/>
        </w:rPr>
        <w:t>gender</w:t>
      </w:r>
      <w:r w:rsidR="00446601">
        <w:rPr>
          <w:rFonts w:ascii="Segoe UI" w:hAnsi="Segoe UI" w:cs="Segoe UI"/>
          <w:color w:val="352F3D"/>
          <w:sz w:val="21"/>
          <w:szCs w:val="21"/>
        </w:rPr>
        <w:t xml:space="preserve"> regulation in the church</w:t>
      </w:r>
      <w:r>
        <w:rPr>
          <w:rFonts w:ascii="Segoe UI" w:hAnsi="Segoe UI" w:cs="Segoe UI"/>
          <w:color w:val="352F3D"/>
          <w:sz w:val="21"/>
          <w:szCs w:val="21"/>
        </w:rPr>
        <w:t xml:space="preserve"> follows the same arc.</w:t>
      </w:r>
    </w:p>
    <w:p w14:paraId="1BFBAA8B" w14:textId="597E5162"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premise is</w:t>
      </w:r>
      <w:r w:rsidR="00446601">
        <w:rPr>
          <w:rFonts w:ascii="Segoe UI" w:hAnsi="Segoe UI" w:cs="Segoe UI"/>
          <w:color w:val="352F3D"/>
          <w:sz w:val="21"/>
          <w:szCs w:val="21"/>
        </w:rPr>
        <w:t xml:space="preserve"> situationally fair</w:t>
      </w:r>
      <w:r>
        <w:rPr>
          <w:rFonts w:ascii="Segoe UI" w:hAnsi="Segoe UI" w:cs="Segoe UI"/>
          <w:color w:val="352F3D"/>
          <w:sz w:val="21"/>
          <w:szCs w:val="21"/>
        </w:rPr>
        <w:t>, and the history should humble everyone. But note </w:t>
      </w:r>
      <w:r>
        <w:rPr>
          <w:rStyle w:val="Strong"/>
          <w:rFonts w:ascii="Segoe UI" w:hAnsi="Segoe UI" w:cs="Segoe UI"/>
          <w:color w:val="352F3D"/>
          <w:sz w:val="21"/>
          <w:szCs w:val="21"/>
        </w:rPr>
        <w:t>why</w:t>
      </w:r>
      <w:r>
        <w:rPr>
          <w:rFonts w:ascii="Segoe UI" w:hAnsi="Segoe UI" w:cs="Segoe UI"/>
          <w:color w:val="352F3D"/>
          <w:sz w:val="21"/>
          <w:szCs w:val="21"/>
        </w:rPr>
        <w:t> the church could move</w:t>
      </w:r>
      <w:r w:rsidR="00446601">
        <w:rPr>
          <w:rFonts w:ascii="Segoe UI" w:hAnsi="Segoe UI" w:cs="Segoe UI"/>
          <w:color w:val="352F3D"/>
          <w:sz w:val="21"/>
          <w:szCs w:val="21"/>
        </w:rPr>
        <w:t xml:space="preserve"> for change in consideration of slavery</w:t>
      </w:r>
      <w:r>
        <w:rPr>
          <w:rFonts w:ascii="Segoe UI" w:hAnsi="Segoe UI" w:cs="Segoe UI"/>
          <w:color w:val="352F3D"/>
          <w:sz w:val="21"/>
          <w:szCs w:val="21"/>
        </w:rPr>
        <w:t>.</w:t>
      </w:r>
    </w:p>
    <w:p w14:paraId="20CA52BE" w14:textId="709BE455"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Paul regulates slavery. He never grounds the master–slave relation in anything prior to society. There is no verse reading "for the master was formed first." The anchor was cultural, and cultural anchors drag</w:t>
      </w:r>
      <w:r w:rsidR="00446601">
        <w:rPr>
          <w:rFonts w:ascii="Segoe UI" w:hAnsi="Segoe UI" w:cs="Segoe UI"/>
          <w:color w:val="352F3D"/>
          <w:sz w:val="21"/>
          <w:szCs w:val="21"/>
        </w:rPr>
        <w:t xml:space="preserve"> on generational </w:t>
      </w:r>
      <w:r w:rsidR="005A197F">
        <w:rPr>
          <w:rFonts w:ascii="Segoe UI" w:hAnsi="Segoe UI" w:cs="Segoe UI"/>
          <w:color w:val="352F3D"/>
          <w:sz w:val="21"/>
          <w:szCs w:val="21"/>
        </w:rPr>
        <w:t>conscience</w:t>
      </w:r>
      <w:r>
        <w:rPr>
          <w:rFonts w:ascii="Segoe UI" w:hAnsi="Segoe UI" w:cs="Segoe UI"/>
          <w:color w:val="352F3D"/>
          <w:sz w:val="21"/>
          <w:szCs w:val="21"/>
        </w:rPr>
        <w:t>.</w:t>
      </w:r>
    </w:p>
    <w:p w14:paraId="0CD4F800" w14:textId="01ACCAE1"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lastRenderedPageBreak/>
        <w:t xml:space="preserve">Twice, in two letters, Paul grounds the assembly instruction in the created order (1 Timothy 2:13; 1 Corinthians 11:8–9). </w:t>
      </w:r>
      <w:r w:rsidR="005A197F">
        <w:rPr>
          <w:rFonts w:ascii="Segoe UI" w:hAnsi="Segoe UI" w:cs="Segoe UI"/>
          <w:color w:val="352F3D"/>
          <w:sz w:val="21"/>
          <w:szCs w:val="21"/>
        </w:rPr>
        <w:t xml:space="preserve">This is God’s design. </w:t>
      </w:r>
      <w:r>
        <w:rPr>
          <w:rFonts w:ascii="Segoe UI" w:hAnsi="Segoe UI" w:cs="Segoe UI"/>
          <w:color w:val="352F3D"/>
          <w:sz w:val="21"/>
          <w:szCs w:val="21"/>
        </w:rPr>
        <w:t>The feature that made slavery movable is precisely the feature this instruction has that slavery lacked.</w:t>
      </w:r>
    </w:p>
    <w:p w14:paraId="613ADB95" w14:textId="77777777" w:rsidR="00A94C8F" w:rsidRDefault="00425303" w:rsidP="00A94C8F">
      <w:pPr>
        <w:rPr>
          <w:rFonts w:ascii="Segoe UI" w:hAnsi="Segoe UI" w:cs="Segoe UI"/>
          <w:sz w:val="21"/>
          <w:szCs w:val="21"/>
        </w:rPr>
      </w:pPr>
      <w:r>
        <w:pict w14:anchorId="18262010">
          <v:rect id="Rectangle 33" o:spid="_x0000_s2053"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06DD30"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Nine: Early Church Reception</w:t>
      </w:r>
    </w:p>
    <w:p w14:paraId="64605027"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ante-Nicene writers uniformly restricted authoritative teaching in the assembly to men. Their reasoning is instructive for the argument of Part Eight.</w:t>
      </w:r>
    </w:p>
    <w:p w14:paraId="5DEFE094"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Tertullian</w:t>
      </w:r>
      <w:r>
        <w:rPr>
          <w:rFonts w:ascii="Segoe UI" w:hAnsi="Segoe UI" w:cs="Segoe UI"/>
          <w:color w:val="352F3D"/>
          <w:sz w:val="21"/>
          <w:szCs w:val="21"/>
        </w:rPr>
        <w:t> (Carthage, c. 200–215) lists four restricted functions: speaking, teaching, baptizing, and offering (</w:t>
      </w:r>
      <w:r>
        <w:rPr>
          <w:rStyle w:val="Emphasis"/>
          <w:rFonts w:ascii="Segoe UI" w:hAnsi="Segoe UI" w:cs="Segoe UI"/>
          <w:color w:val="352F3D"/>
          <w:sz w:val="21"/>
          <w:szCs w:val="21"/>
        </w:rPr>
        <w:t>On the Veiling of Virgins</w:t>
      </w:r>
      <w:r>
        <w:rPr>
          <w:rFonts w:ascii="Segoe UI" w:hAnsi="Segoe UI" w:cs="Segoe UI"/>
          <w:color w:val="352F3D"/>
          <w:sz w:val="21"/>
          <w:szCs w:val="21"/>
        </w:rPr>
        <w:t> 9). In </w:t>
      </w:r>
      <w:r>
        <w:rPr>
          <w:rStyle w:val="Emphasis"/>
          <w:rFonts w:ascii="Segoe UI" w:hAnsi="Segoe UI" w:cs="Segoe UI"/>
          <w:color w:val="352F3D"/>
          <w:sz w:val="21"/>
          <w:szCs w:val="21"/>
        </w:rPr>
        <w:t>On Baptism</w:t>
      </w:r>
      <w:r>
        <w:rPr>
          <w:rFonts w:ascii="Segoe UI" w:hAnsi="Segoe UI" w:cs="Segoe UI"/>
          <w:color w:val="352F3D"/>
          <w:sz w:val="21"/>
          <w:szCs w:val="21"/>
        </w:rPr>
        <w:t> 17 he argues against those appealing to the </w:t>
      </w:r>
      <w:r>
        <w:rPr>
          <w:rStyle w:val="Emphasis"/>
          <w:rFonts w:ascii="Segoe UI" w:hAnsi="Segoe UI" w:cs="Segoe UI"/>
          <w:color w:val="352F3D"/>
          <w:sz w:val="21"/>
          <w:szCs w:val="21"/>
        </w:rPr>
        <w:t>Acts of Paul and Thecla</w:t>
      </w:r>
      <w:r>
        <w:rPr>
          <w:rFonts w:ascii="Segoe UI" w:hAnsi="Segoe UI" w:cs="Segoe UI"/>
          <w:color w:val="352F3D"/>
          <w:sz w:val="21"/>
          <w:szCs w:val="21"/>
        </w:rPr>
        <w:t> to justify women teaching and baptizing.</w:t>
      </w:r>
    </w:p>
    <w:p w14:paraId="568763A2"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Hippolytus</w:t>
      </w:r>
      <w:r>
        <w:rPr>
          <w:rFonts w:ascii="Segoe UI" w:hAnsi="Segoe UI" w:cs="Segoe UI"/>
          <w:color w:val="352F3D"/>
          <w:sz w:val="21"/>
          <w:szCs w:val="21"/>
        </w:rPr>
        <w:t> (Rome, c. 215) directs that a widow be appointed by word rather than ordained, without laying on of hands, "because she does not offer the oblation and does not conduct the liturgy." Ordination attaches to liturgical function; the widow's assigned work is prayer, which requires no ordination because all believers pray.</w:t>
      </w:r>
    </w:p>
    <w:p w14:paraId="23061DD6"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Origen</w:t>
      </w:r>
      <w:r>
        <w:rPr>
          <w:rFonts w:ascii="Segoe UI" w:hAnsi="Segoe UI" w:cs="Segoe UI"/>
          <w:color w:val="352F3D"/>
          <w:sz w:val="21"/>
          <w:szCs w:val="21"/>
        </w:rPr>
        <w:t> (c. 240s) concedes that women may have the prophetic gift and still restricts the venue, citing Philip's daughters, Deborah, Huldah, and Anna.</w:t>
      </w:r>
    </w:p>
    <w:p w14:paraId="3CB3685E" w14:textId="07239360"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The Didascalia Apostolorum</w:t>
      </w:r>
      <w:r>
        <w:rPr>
          <w:rFonts w:ascii="Segoe UI" w:hAnsi="Segoe UI" w:cs="Segoe UI"/>
          <w:color w:val="352F3D"/>
          <w:sz w:val="21"/>
          <w:szCs w:val="21"/>
        </w:rPr>
        <w:t xml:space="preserve"> (Syria, c. 230–250) forbids women to teach in the assembly and to baptize, while establishing deaconesses as a necessary office </w:t>
      </w:r>
      <w:r w:rsidR="005A197F">
        <w:rPr>
          <w:rFonts w:ascii="Segoe UI" w:hAnsi="Segoe UI" w:cs="Segoe UI"/>
          <w:color w:val="352F3D"/>
          <w:sz w:val="21"/>
          <w:szCs w:val="21"/>
        </w:rPr>
        <w:t xml:space="preserve">(i.e. </w:t>
      </w:r>
      <w:r>
        <w:rPr>
          <w:rFonts w:ascii="Segoe UI" w:hAnsi="Segoe UI" w:cs="Segoe UI"/>
          <w:color w:val="352F3D"/>
          <w:sz w:val="21"/>
          <w:szCs w:val="21"/>
        </w:rPr>
        <w:t>they anoint women at baptism and instruct them afterward, though a man pronounces the invocation over the water</w:t>
      </w:r>
      <w:r w:rsidR="005A197F">
        <w:rPr>
          <w:rFonts w:ascii="Segoe UI" w:hAnsi="Segoe UI" w:cs="Segoe UI"/>
          <w:color w:val="352F3D"/>
          <w:sz w:val="21"/>
          <w:szCs w:val="21"/>
        </w:rPr>
        <w:t>)</w:t>
      </w:r>
      <w:r>
        <w:rPr>
          <w:rFonts w:ascii="Segoe UI" w:hAnsi="Segoe UI" w:cs="Segoe UI"/>
          <w:color w:val="352F3D"/>
          <w:sz w:val="21"/>
          <w:szCs w:val="21"/>
        </w:rPr>
        <w:t>. The document calls the ministry of a woman deacon "especially needful and important."</w:t>
      </w:r>
    </w:p>
    <w:p w14:paraId="49B7BEE1"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Two observations.</w:t>
      </w:r>
    </w:p>
    <w:p w14:paraId="2922AAB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First, notice the question these writers are asking. Not "who has the gift?" but "who was appointed?" Origen concedes the gift outright and still restricts the venue. Hippolytus withholds the laying on of hands not because prayer is unimportant but because ordination attaches to liturgical function. This is the same distinction Part Eight draws.</w:t>
      </w:r>
    </w:p>
    <w:p w14:paraId="31FAD976" w14:textId="3F510B0D"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 xml:space="preserve">Second, two cautions on using this material. These are prescriptive texts, which usually indicates that someone was doing the opposite </w:t>
      </w:r>
      <w:r w:rsidR="005A197F">
        <w:rPr>
          <w:rFonts w:ascii="Segoe UI" w:hAnsi="Segoe UI" w:cs="Segoe UI"/>
          <w:color w:val="352F3D"/>
          <w:sz w:val="21"/>
          <w:szCs w:val="21"/>
        </w:rPr>
        <w:t xml:space="preserve">(e.g. </w:t>
      </w:r>
      <w:r>
        <w:rPr>
          <w:rFonts w:ascii="Segoe UI" w:hAnsi="Segoe UI" w:cs="Segoe UI"/>
          <w:color w:val="352F3D"/>
          <w:sz w:val="21"/>
          <w:szCs w:val="21"/>
        </w:rPr>
        <w:t>Tertullian is arguing, which means North African congregations were permitting what he opposed</w:t>
      </w:r>
      <w:r w:rsidR="005A197F">
        <w:rPr>
          <w:rFonts w:ascii="Segoe UI" w:hAnsi="Segoe UI" w:cs="Segoe UI"/>
          <w:color w:val="352F3D"/>
          <w:sz w:val="21"/>
          <w:szCs w:val="21"/>
        </w:rPr>
        <w:t>)</w:t>
      </w:r>
      <w:r>
        <w:rPr>
          <w:rFonts w:ascii="Segoe UI" w:hAnsi="Segoe UI" w:cs="Segoe UI"/>
          <w:color w:val="352F3D"/>
          <w:sz w:val="21"/>
          <w:szCs w:val="21"/>
        </w:rPr>
        <w:t>. And the geographic spread is narrow: Carthage, Rome, Syria, Alexandria, with Syrian practice differing from North African on the deaconess question.</w:t>
      </w:r>
    </w:p>
    <w:p w14:paraId="7F754E31"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This testimony is genuinely weighty as evidence of apostolic practice. It is not the same thing as apostolic command, which is why Part One declines to build the baptism and communion claims on it.</w:t>
      </w:r>
    </w:p>
    <w:p w14:paraId="5245B532" w14:textId="77777777" w:rsidR="00A94C8F" w:rsidRDefault="00425303" w:rsidP="00A94C8F">
      <w:pPr>
        <w:rPr>
          <w:rFonts w:ascii="Segoe UI" w:hAnsi="Segoe UI" w:cs="Segoe UI"/>
          <w:sz w:val="21"/>
          <w:szCs w:val="21"/>
        </w:rPr>
      </w:pPr>
      <w:r>
        <w:pict w14:anchorId="0B3ACB78">
          <v:rect id="Rectangle 31" o:spid="_x0000_s2052"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4521B2"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Part Ten: What Does God Want?</w:t>
      </w:r>
    </w:p>
    <w:p w14:paraId="122A7E0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Stepping back from the narrow debate, a pattern emerges across the storyline of Scripture.</w:t>
      </w:r>
    </w:p>
    <w:p w14:paraId="0331E6FB" w14:textId="732365C8"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In creation</w:t>
      </w:r>
      <w:r>
        <w:rPr>
          <w:rFonts w:ascii="Segoe UI" w:hAnsi="Segoe UI" w:cs="Segoe UI"/>
          <w:color w:val="352F3D"/>
          <w:sz w:val="21"/>
          <w:szCs w:val="21"/>
        </w:rPr>
        <w:t xml:space="preserve">, Genesis 1–2 shows male and female in God's image, both given dominion, both called very good, both designed for communion with God. Adam is formed first; Eve is formed from him and called a helper corresponding to him </w:t>
      </w:r>
      <w:r w:rsidR="005A197F">
        <w:rPr>
          <w:rFonts w:ascii="Segoe UI" w:hAnsi="Segoe UI" w:cs="Segoe UI"/>
          <w:color w:val="352F3D"/>
          <w:sz w:val="21"/>
          <w:szCs w:val="21"/>
        </w:rPr>
        <w:t xml:space="preserve">(i.e. </w:t>
      </w:r>
      <w:r>
        <w:rPr>
          <w:rFonts w:ascii="Segoe UI" w:hAnsi="Segoe UI" w:cs="Segoe UI"/>
          <w:color w:val="352F3D"/>
          <w:sz w:val="21"/>
          <w:szCs w:val="21"/>
        </w:rPr>
        <w:t>a strong ally, not an assistant</w:t>
      </w:r>
      <w:r w:rsidR="005A197F">
        <w:rPr>
          <w:rFonts w:ascii="Segoe UI" w:hAnsi="Segoe UI" w:cs="Segoe UI"/>
          <w:color w:val="352F3D"/>
          <w:sz w:val="21"/>
          <w:szCs w:val="21"/>
        </w:rPr>
        <w:t>)</w:t>
      </w:r>
      <w:r>
        <w:rPr>
          <w:rFonts w:ascii="Segoe UI" w:hAnsi="Segoe UI" w:cs="Segoe UI"/>
          <w:color w:val="352F3D"/>
          <w:sz w:val="21"/>
          <w:szCs w:val="21"/>
        </w:rPr>
        <w:t>. God's design is ordered unity, shared dominion, relational harmony, and communion with Himself.</w:t>
      </w:r>
    </w:p>
    <w:p w14:paraId="2C76D824" w14:textId="1F04477F"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In the fall</w:t>
      </w:r>
      <w:r>
        <w:rPr>
          <w:rFonts w:ascii="Segoe UI" w:hAnsi="Segoe UI" w:cs="Segoe UI"/>
          <w:color w:val="352F3D"/>
          <w:sz w:val="21"/>
          <w:szCs w:val="21"/>
        </w:rPr>
        <w:t>, Genesis 3 is not merely about eating fruit. The serpent bypasses God's word, the man fails to guard, the woman is deceived, trust collapses, blame shifts, and communion breaks. The pattern recurs throughout Scripture</w:t>
      </w:r>
      <w:r w:rsidR="005A197F">
        <w:rPr>
          <w:rFonts w:ascii="Segoe UI" w:hAnsi="Segoe UI" w:cs="Segoe UI"/>
          <w:color w:val="352F3D"/>
          <w:sz w:val="21"/>
          <w:szCs w:val="21"/>
        </w:rPr>
        <w:t xml:space="preserve">…, </w:t>
      </w:r>
      <w:r>
        <w:rPr>
          <w:rFonts w:ascii="Segoe UI" w:hAnsi="Segoe UI" w:cs="Segoe UI"/>
          <w:color w:val="352F3D"/>
          <w:sz w:val="21"/>
          <w:szCs w:val="21"/>
        </w:rPr>
        <w:t>a creature steps outside an assigned place, autonomy replaces trust, order collapses, relationship fractures.</w:t>
      </w:r>
    </w:p>
    <w:p w14:paraId="664EB651" w14:textId="2C0BE4A1"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lastRenderedPageBreak/>
        <w:t>In redemption</w:t>
      </w:r>
      <w:r>
        <w:rPr>
          <w:rFonts w:ascii="Segoe UI" w:hAnsi="Segoe UI" w:cs="Segoe UI"/>
          <w:color w:val="352F3D"/>
          <w:sz w:val="21"/>
          <w:szCs w:val="21"/>
        </w:rPr>
        <w:t>, God does not abolish order. He restores it. He does not flatten distinction</w:t>
      </w:r>
      <w:r w:rsidR="005A197F">
        <w:rPr>
          <w:rFonts w:ascii="Segoe UI" w:hAnsi="Segoe UI" w:cs="Segoe UI"/>
          <w:color w:val="352F3D"/>
          <w:sz w:val="21"/>
          <w:szCs w:val="21"/>
        </w:rPr>
        <w:t xml:space="preserve">. </w:t>
      </w:r>
      <w:r>
        <w:rPr>
          <w:rFonts w:ascii="Segoe UI" w:hAnsi="Segoe UI" w:cs="Segoe UI"/>
          <w:color w:val="352F3D"/>
          <w:sz w:val="21"/>
          <w:szCs w:val="21"/>
        </w:rPr>
        <w:t>He heals it. Christ is the last Adam, the head of the church, the obedient Son who does not grasp autonomy (Philippians 2) but submits to the Father, and through ordered obedience restores communion.</w:t>
      </w:r>
    </w:p>
    <w:p w14:paraId="74B53F14" w14:textId="74E8A4F8"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In the church</w:t>
      </w:r>
      <w:r>
        <w:rPr>
          <w:rFonts w:ascii="Segoe UI" w:hAnsi="Segoe UI" w:cs="Segoe UI"/>
          <w:color w:val="352F3D"/>
          <w:sz w:val="21"/>
          <w:szCs w:val="21"/>
        </w:rPr>
        <w:t xml:space="preserve">, the imagery is household (1 Timothy 3:15), family, body, bride </w:t>
      </w:r>
      <w:r w:rsidR="005A197F">
        <w:rPr>
          <w:rFonts w:ascii="Segoe UI" w:hAnsi="Segoe UI" w:cs="Segoe UI"/>
          <w:color w:val="352F3D"/>
          <w:sz w:val="21"/>
          <w:szCs w:val="21"/>
        </w:rPr>
        <w:t xml:space="preserve">(i.e. </w:t>
      </w:r>
      <w:r>
        <w:rPr>
          <w:rFonts w:ascii="Segoe UI" w:hAnsi="Segoe UI" w:cs="Segoe UI"/>
          <w:color w:val="352F3D"/>
          <w:sz w:val="21"/>
          <w:szCs w:val="21"/>
        </w:rPr>
        <w:t>not corporation, not competitive platform</w:t>
      </w:r>
      <w:r w:rsidR="005A197F">
        <w:rPr>
          <w:rFonts w:ascii="Segoe UI" w:hAnsi="Segoe UI" w:cs="Segoe UI"/>
          <w:color w:val="352F3D"/>
          <w:sz w:val="21"/>
          <w:szCs w:val="21"/>
        </w:rPr>
        <w:t>)</w:t>
      </w:r>
      <w:r>
        <w:rPr>
          <w:rFonts w:ascii="Segoe UI" w:hAnsi="Segoe UI" w:cs="Segoe UI"/>
          <w:color w:val="352F3D"/>
          <w:sz w:val="21"/>
          <w:szCs w:val="21"/>
        </w:rPr>
        <w:t>. In a family, authority exists, love governs it, sacrifice defines it, and flourishing is shared.</w:t>
      </w:r>
    </w:p>
    <w:p w14:paraId="6841D38E" w14:textId="74FE1545" w:rsidR="00A94C8F" w:rsidRPr="00DC1DB0" w:rsidRDefault="00B403DA" w:rsidP="00A94C8F">
      <w:pPr>
        <w:pStyle w:val="code-line"/>
        <w:spacing w:before="0" w:beforeAutospacing="0" w:after="240" w:afterAutospacing="0"/>
        <w:rPr>
          <w:rFonts w:ascii="Segoe UI" w:hAnsi="Segoe UI" w:cs="Segoe UI"/>
          <w:i/>
          <w:iCs/>
          <w:color w:val="352F3D"/>
          <w:sz w:val="21"/>
          <w:szCs w:val="21"/>
        </w:rPr>
      </w:pPr>
      <w:r w:rsidRPr="00DC1DB0">
        <w:rPr>
          <w:rFonts w:ascii="Segoe UI" w:hAnsi="Segoe UI" w:cs="Segoe UI"/>
          <w:i/>
          <w:iCs/>
          <w:color w:val="352F3D"/>
          <w:sz w:val="21"/>
          <w:szCs w:val="21"/>
        </w:rPr>
        <w:t>So,</w:t>
      </w:r>
      <w:r w:rsidR="00A94C8F" w:rsidRPr="00DC1DB0">
        <w:rPr>
          <w:rFonts w:ascii="Segoe UI" w:hAnsi="Segoe UI" w:cs="Segoe UI"/>
          <w:i/>
          <w:iCs/>
          <w:color w:val="352F3D"/>
          <w:sz w:val="21"/>
          <w:szCs w:val="21"/>
        </w:rPr>
        <w:t xml:space="preserve"> when Paul regulates order in the assembly, it likely reflects not anxiety about women but a vision of restored creation order under Christ.</w:t>
      </w:r>
    </w:p>
    <w:p w14:paraId="405DE100"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The goal is not control but communion.</w:t>
      </w:r>
      <w:r>
        <w:rPr>
          <w:rFonts w:ascii="Segoe UI" w:hAnsi="Segoe UI" w:cs="Segoe UI"/>
          <w:color w:val="352F3D"/>
          <w:sz w:val="21"/>
          <w:szCs w:val="21"/>
        </w:rPr>
        <w:t xml:space="preserve"> The end of Scripture is not hierarchy. It is family dwelling with God: </w:t>
      </w:r>
      <w:r w:rsidRPr="005A197F">
        <w:rPr>
          <w:rFonts w:ascii="Segoe UI" w:hAnsi="Segoe UI" w:cs="Segoe UI"/>
          <w:i/>
          <w:iCs/>
          <w:color w:val="352F3D"/>
          <w:sz w:val="21"/>
          <w:szCs w:val="21"/>
        </w:rPr>
        <w:t>"Look! The residence of God is among human beings"</w:t>
      </w:r>
      <w:r>
        <w:rPr>
          <w:rFonts w:ascii="Segoe UI" w:hAnsi="Segoe UI" w:cs="Segoe UI"/>
          <w:color w:val="352F3D"/>
          <w:sz w:val="21"/>
          <w:szCs w:val="21"/>
        </w:rPr>
        <w:t xml:space="preserve"> (Revelation 21:3).</w:t>
      </w:r>
    </w:p>
    <w:p w14:paraId="6C8DA4D9"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Fonts w:ascii="Segoe UI" w:hAnsi="Segoe UI" w:cs="Segoe UI"/>
          <w:color w:val="352F3D"/>
          <w:sz w:val="21"/>
          <w:szCs w:val="21"/>
        </w:rPr>
        <w:t>The deepest answer to "what does God want?" is restored sons and daughters, under Christ the faithful head, living in ordered love, reflecting the harmony of new creation.</w:t>
      </w:r>
    </w:p>
    <w:p w14:paraId="10FA0F99" w14:textId="77777777" w:rsidR="00A94C8F" w:rsidRDefault="00425303" w:rsidP="00A94C8F">
      <w:pPr>
        <w:rPr>
          <w:rFonts w:ascii="Segoe UI" w:hAnsi="Segoe UI" w:cs="Segoe UI"/>
          <w:sz w:val="21"/>
          <w:szCs w:val="21"/>
        </w:rPr>
      </w:pPr>
      <w:r>
        <w:pict w14:anchorId="3861C11C">
          <v:rect id="Rectangle 29"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35104F" w14:textId="77777777" w:rsidR="00A94C8F" w:rsidRDefault="00A94C8F" w:rsidP="00A94C8F">
      <w:pPr>
        <w:pStyle w:val="Heading1"/>
        <w:spacing w:before="0" w:after="240"/>
        <w:rPr>
          <w:rFonts w:ascii="Segoe UI" w:hAnsi="Segoe UI" w:cs="Segoe UI"/>
          <w:color w:val="352F3D"/>
          <w:sz w:val="48"/>
          <w:szCs w:val="48"/>
        </w:rPr>
      </w:pPr>
      <w:r>
        <w:rPr>
          <w:rFonts w:ascii="Segoe UI" w:hAnsi="Segoe UI" w:cs="Segoe UI"/>
          <w:color w:val="352F3D"/>
        </w:rPr>
        <w:t>Summary</w:t>
      </w:r>
    </w:p>
    <w:p w14:paraId="62BF9B96" w14:textId="77777777"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This study argues the </w:t>
      </w:r>
      <w:r>
        <w:rPr>
          <w:rStyle w:val="Strong"/>
          <w:rFonts w:ascii="Segoe UI" w:hAnsi="Segoe UI" w:cs="Segoe UI"/>
          <w:color w:val="352F3D"/>
          <w:sz w:val="21"/>
          <w:szCs w:val="21"/>
        </w:rPr>
        <w:t>narrow position</w:t>
      </w:r>
      <w:r>
        <w:rPr>
          <w:rFonts w:ascii="Segoe UI" w:hAnsi="Segoe UI" w:cs="Segoe UI"/>
          <w:color w:val="352F3D"/>
          <w:sz w:val="21"/>
          <w:szCs w:val="21"/>
        </w:rPr>
        <w:t>: 1 Timothy 2:12 restricts authoritative doctrinal teaching over men in the gathered church and the office attached to it. It does not restrict all speech.</w:t>
      </w:r>
    </w:p>
    <w:p w14:paraId="6BC0B11E" w14:textId="26391E3E"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The usurpation reading of </w:t>
      </w:r>
      <w:r>
        <w:rPr>
          <w:rStyle w:val="Emphasis"/>
          <w:rFonts w:ascii="Segoe UI" w:hAnsi="Segoe UI" w:cs="Segoe UI"/>
          <w:color w:val="352F3D"/>
          <w:sz w:val="21"/>
          <w:szCs w:val="21"/>
        </w:rPr>
        <w:t>authentein</w:t>
      </w:r>
      <w:r>
        <w:rPr>
          <w:rFonts w:ascii="Segoe UI" w:hAnsi="Segoe UI" w:cs="Segoe UI"/>
          <w:color w:val="352F3D"/>
          <w:sz w:val="21"/>
          <w:szCs w:val="21"/>
        </w:rPr>
        <w:t> fails on two grounds</w:t>
      </w:r>
      <w:r w:rsidR="005A197F">
        <w:rPr>
          <w:rFonts w:ascii="Segoe UI" w:hAnsi="Segoe UI" w:cs="Segoe UI"/>
          <w:color w:val="352F3D"/>
          <w:sz w:val="21"/>
          <w:szCs w:val="21"/>
        </w:rPr>
        <w:t xml:space="preserve">…, </w:t>
      </w:r>
      <w:r>
        <w:rPr>
          <w:rFonts w:ascii="Segoe UI" w:hAnsi="Segoe UI" w:cs="Segoe UI"/>
          <w:color w:val="352F3D"/>
          <w:sz w:val="21"/>
          <w:szCs w:val="21"/>
        </w:rPr>
        <w:t>the </w:t>
      </w:r>
      <w:r>
        <w:rPr>
          <w:rStyle w:val="Emphasis"/>
          <w:rFonts w:ascii="Segoe UI" w:hAnsi="Segoe UI" w:cs="Segoe UI"/>
          <w:color w:val="352F3D"/>
          <w:sz w:val="21"/>
          <w:szCs w:val="21"/>
        </w:rPr>
        <w:t>oude</w:t>
      </w:r>
      <w:r>
        <w:rPr>
          <w:rFonts w:ascii="Segoe UI" w:hAnsi="Segoe UI" w:cs="Segoe UI"/>
          <w:color w:val="352F3D"/>
          <w:sz w:val="21"/>
          <w:szCs w:val="21"/>
        </w:rPr>
        <w:t> construction requires both infinitives to be viewed alike, and a creation rationale in v.13 does not fit a prohibition against abusive conduct.</w:t>
      </w:r>
    </w:p>
    <w:p w14:paraId="5A57ADC1" w14:textId="77777777"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The instruction is not primarily cultural. Paul demonstrably knows how to give local reputational reasons (5:14) and does not use one here. He appeals to Genesis instead.</w:t>
      </w:r>
    </w:p>
    <w:p w14:paraId="70B1A77E" w14:textId="520F3585"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 xml:space="preserve">1 Corinthians 11:5 and 14:34 concern different functions </w:t>
      </w:r>
      <w:r w:rsidR="005A197F">
        <w:rPr>
          <w:rFonts w:ascii="Segoe UI" w:hAnsi="Segoe UI" w:cs="Segoe UI"/>
          <w:color w:val="352F3D"/>
          <w:sz w:val="21"/>
          <w:szCs w:val="21"/>
        </w:rPr>
        <w:t xml:space="preserve">(i.e. </w:t>
      </w:r>
      <w:r>
        <w:rPr>
          <w:rFonts w:ascii="Segoe UI" w:hAnsi="Segoe UI" w:cs="Segoe UI"/>
          <w:color w:val="352F3D"/>
          <w:sz w:val="21"/>
          <w:szCs w:val="21"/>
        </w:rPr>
        <w:t>prophesying versus authoritative evaluation</w:t>
      </w:r>
      <w:r w:rsidR="005A197F">
        <w:rPr>
          <w:rFonts w:ascii="Segoe UI" w:hAnsi="Segoe UI" w:cs="Segoe UI"/>
          <w:color w:val="352F3D"/>
          <w:sz w:val="21"/>
          <w:szCs w:val="21"/>
        </w:rPr>
        <w:t xml:space="preserve">) </w:t>
      </w:r>
      <w:r>
        <w:rPr>
          <w:rFonts w:ascii="Segoe UI" w:hAnsi="Segoe UI" w:cs="Segoe UI"/>
          <w:color w:val="352F3D"/>
          <w:sz w:val="21"/>
          <w:szCs w:val="21"/>
        </w:rPr>
        <w:t>and both stand.</w:t>
      </w:r>
    </w:p>
    <w:p w14:paraId="6A737991" w14:textId="77777777"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Authority in the assembly is conferred by apostolic appointment rather than generated by gifting, fruit, or trajectory. Paul states this directly in 1 Corinthians 14:37.</w:t>
      </w:r>
    </w:p>
    <w:p w14:paraId="6B0BA5FC" w14:textId="4A50A7D2" w:rsidR="00A94C8F" w:rsidRDefault="00A94C8F" w:rsidP="00A94C8F">
      <w:pPr>
        <w:pStyle w:val="code-line"/>
        <w:numPr>
          <w:ilvl w:val="0"/>
          <w:numId w:val="72"/>
        </w:numPr>
        <w:spacing w:before="0" w:beforeAutospacing="0" w:after="168" w:afterAutospacing="0"/>
        <w:rPr>
          <w:rFonts w:ascii="Segoe UI" w:hAnsi="Segoe UI" w:cs="Segoe UI"/>
          <w:color w:val="352F3D"/>
          <w:sz w:val="21"/>
          <w:szCs w:val="21"/>
        </w:rPr>
      </w:pPr>
      <w:r>
        <w:rPr>
          <w:rFonts w:ascii="Segoe UI" w:hAnsi="Segoe UI" w:cs="Segoe UI"/>
          <w:color w:val="352F3D"/>
          <w:sz w:val="21"/>
          <w:szCs w:val="21"/>
        </w:rPr>
        <w:t xml:space="preserve">Restrictions on women baptizing or presiding at communion rest on early church practice rather than </w:t>
      </w:r>
      <w:r w:rsidR="00DC1DB0">
        <w:rPr>
          <w:rFonts w:ascii="Segoe UI" w:hAnsi="Segoe UI" w:cs="Segoe UI"/>
          <w:color w:val="352F3D"/>
          <w:sz w:val="21"/>
          <w:szCs w:val="21"/>
        </w:rPr>
        <w:t xml:space="preserve">explicit </w:t>
      </w:r>
      <w:r>
        <w:rPr>
          <w:rFonts w:ascii="Segoe UI" w:hAnsi="Segoe UI" w:cs="Segoe UI"/>
          <w:color w:val="352F3D"/>
          <w:sz w:val="21"/>
          <w:szCs w:val="21"/>
        </w:rPr>
        <w:t xml:space="preserve">apostolic </w:t>
      </w:r>
      <w:r w:rsidR="00B403DA">
        <w:rPr>
          <w:rFonts w:ascii="Segoe UI" w:hAnsi="Segoe UI" w:cs="Segoe UI"/>
          <w:color w:val="352F3D"/>
          <w:sz w:val="21"/>
          <w:szCs w:val="21"/>
        </w:rPr>
        <w:t>command and</w:t>
      </w:r>
      <w:r>
        <w:rPr>
          <w:rFonts w:ascii="Segoe UI" w:hAnsi="Segoe UI" w:cs="Segoe UI"/>
          <w:color w:val="352F3D"/>
          <w:sz w:val="21"/>
          <w:szCs w:val="21"/>
        </w:rPr>
        <w:t xml:space="preserve"> are not claimed here as scriptural prohibitions.</w:t>
      </w:r>
    </w:p>
    <w:p w14:paraId="38EBAD7B" w14:textId="77777777" w:rsidR="00A94C8F" w:rsidRDefault="00425303" w:rsidP="00A94C8F">
      <w:pPr>
        <w:rPr>
          <w:rFonts w:ascii="Segoe UI" w:hAnsi="Segoe UI" w:cs="Segoe UI"/>
          <w:sz w:val="21"/>
          <w:szCs w:val="21"/>
        </w:rPr>
      </w:pPr>
      <w:r>
        <w:pict w14:anchorId="6C92B554">
          <v:rect id="Rectangle 27" o:spid="_x0000_s205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6B27F7" w14:textId="77777777" w:rsidR="00A94C8F" w:rsidRDefault="00A94C8F" w:rsidP="00A94C8F">
      <w:pPr>
        <w:pStyle w:val="Heading2"/>
        <w:spacing w:before="360" w:after="240"/>
        <w:rPr>
          <w:rFonts w:ascii="Segoe UI" w:hAnsi="Segoe UI" w:cs="Segoe UI"/>
          <w:color w:val="352F3D"/>
          <w:sz w:val="36"/>
          <w:szCs w:val="36"/>
        </w:rPr>
      </w:pPr>
      <w:r>
        <w:rPr>
          <w:rFonts w:ascii="Segoe UI" w:hAnsi="Segoe UI" w:cs="Segoe UI"/>
          <w:color w:val="352F3D"/>
        </w:rPr>
        <w:t>Sources</w:t>
      </w:r>
    </w:p>
    <w:p w14:paraId="5DE9183A" w14:textId="6C05EB9D"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Primary texts.</w:t>
      </w:r>
      <w:r>
        <w:rPr>
          <w:rFonts w:ascii="Segoe UI" w:hAnsi="Segoe UI" w:cs="Segoe UI"/>
          <w:color w:val="352F3D"/>
          <w:sz w:val="21"/>
          <w:szCs w:val="21"/>
        </w:rPr>
        <w:t> NET Bible (</w:t>
      </w:r>
      <w:hyperlink r:id="rId8" w:history="1">
        <w:r w:rsidR="00852949" w:rsidRPr="009438FA">
          <w:rPr>
            <w:rStyle w:val="Hyperlink"/>
            <w:rFonts w:ascii="Segoe UI" w:hAnsi="Segoe UI" w:cs="Segoe UI"/>
            <w:sz w:val="21"/>
            <w:szCs w:val="21"/>
          </w:rPr>
          <w:t>https://netbible.org</w:t>
        </w:r>
      </w:hyperlink>
      <w:r>
        <w:rPr>
          <w:rFonts w:ascii="Segoe UI" w:hAnsi="Segoe UI" w:cs="Segoe UI"/>
          <w:color w:val="352F3D"/>
          <w:sz w:val="21"/>
          <w:szCs w:val="21"/>
        </w:rPr>
        <w:t>). Greek text and interlinear via Blue Letter Bible (</w:t>
      </w:r>
      <w:hyperlink r:id="rId9" w:history="1">
        <w:r>
          <w:rPr>
            <w:rStyle w:val="Hyperlink"/>
            <w:rFonts w:ascii="Segoe UI" w:hAnsi="Segoe UI" w:cs="Segoe UI"/>
            <w:color w:val="7138CC"/>
            <w:sz w:val="21"/>
            <w:szCs w:val="21"/>
          </w:rPr>
          <w:t>https://www.blueletterbible.org/tools/interlinear/mgnt/1ti/2/12/</w:t>
        </w:r>
      </w:hyperlink>
      <w:r>
        <w:rPr>
          <w:rFonts w:ascii="Segoe UI" w:hAnsi="Segoe UI" w:cs="Segoe UI"/>
          <w:color w:val="352F3D"/>
          <w:sz w:val="21"/>
          <w:szCs w:val="21"/>
        </w:rPr>
        <w:t>). Lexical entries via Blue Letter Bible Strong's and Bible Hub.</w:t>
      </w:r>
    </w:p>
    <w:p w14:paraId="52535FAE"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Patristic.</w:t>
      </w:r>
      <w:r>
        <w:rPr>
          <w:rFonts w:ascii="Segoe UI" w:hAnsi="Segoe UI" w:cs="Segoe UI"/>
          <w:color w:val="352F3D"/>
          <w:sz w:val="21"/>
          <w:szCs w:val="21"/>
        </w:rPr>
        <w:t> Tertullian, </w:t>
      </w:r>
      <w:r>
        <w:rPr>
          <w:rStyle w:val="Emphasis"/>
          <w:rFonts w:ascii="Segoe UI" w:hAnsi="Segoe UI" w:cs="Segoe UI"/>
          <w:color w:val="352F3D"/>
          <w:sz w:val="21"/>
          <w:szCs w:val="21"/>
        </w:rPr>
        <w:t>On the Veiling of Virgins</w:t>
      </w:r>
      <w:r>
        <w:rPr>
          <w:rFonts w:ascii="Segoe UI" w:hAnsi="Segoe UI" w:cs="Segoe UI"/>
          <w:color w:val="352F3D"/>
          <w:sz w:val="21"/>
          <w:szCs w:val="21"/>
        </w:rPr>
        <w:t> (</w:t>
      </w:r>
      <w:hyperlink r:id="rId10" w:history="1">
        <w:r>
          <w:rPr>
            <w:rStyle w:val="Hyperlink"/>
            <w:rFonts w:ascii="Segoe UI" w:hAnsi="Segoe UI" w:cs="Segoe UI"/>
            <w:color w:val="7138CC"/>
            <w:sz w:val="21"/>
            <w:szCs w:val="21"/>
          </w:rPr>
          <w:t>https://www.newadvent.org/fathers/0403.htm</w:t>
        </w:r>
      </w:hyperlink>
      <w:r>
        <w:rPr>
          <w:rFonts w:ascii="Segoe UI" w:hAnsi="Segoe UI" w:cs="Segoe UI"/>
          <w:color w:val="352F3D"/>
          <w:sz w:val="21"/>
          <w:szCs w:val="21"/>
        </w:rPr>
        <w:t>); </w:t>
      </w:r>
      <w:r>
        <w:rPr>
          <w:rStyle w:val="Emphasis"/>
          <w:rFonts w:ascii="Segoe UI" w:hAnsi="Segoe UI" w:cs="Segoe UI"/>
          <w:color w:val="352F3D"/>
          <w:sz w:val="21"/>
          <w:szCs w:val="21"/>
        </w:rPr>
        <w:t>On Baptism</w:t>
      </w:r>
      <w:r>
        <w:rPr>
          <w:rFonts w:ascii="Segoe UI" w:hAnsi="Segoe UI" w:cs="Segoe UI"/>
          <w:color w:val="352F3D"/>
          <w:sz w:val="21"/>
          <w:szCs w:val="21"/>
        </w:rPr>
        <w:t> (</w:t>
      </w:r>
      <w:hyperlink r:id="rId11" w:history="1">
        <w:r>
          <w:rPr>
            <w:rStyle w:val="Hyperlink"/>
            <w:rFonts w:ascii="Segoe UI" w:hAnsi="Segoe UI" w:cs="Segoe UI"/>
            <w:color w:val="7138CC"/>
            <w:sz w:val="21"/>
            <w:szCs w:val="21"/>
          </w:rPr>
          <w:t>https://www.newadvent.org/fathers/0321.htm</w:t>
        </w:r>
      </w:hyperlink>
      <w:r>
        <w:rPr>
          <w:rFonts w:ascii="Segoe UI" w:hAnsi="Segoe UI" w:cs="Segoe UI"/>
          <w:color w:val="352F3D"/>
          <w:sz w:val="21"/>
          <w:szCs w:val="21"/>
        </w:rPr>
        <w:t>). Hippolytus, </w:t>
      </w:r>
      <w:r>
        <w:rPr>
          <w:rStyle w:val="Emphasis"/>
          <w:rFonts w:ascii="Segoe UI" w:hAnsi="Segoe UI" w:cs="Segoe UI"/>
          <w:color w:val="352F3D"/>
          <w:sz w:val="21"/>
          <w:szCs w:val="21"/>
        </w:rPr>
        <w:t>Apostolic Tradition</w:t>
      </w:r>
      <w:r>
        <w:rPr>
          <w:rFonts w:ascii="Segoe UI" w:hAnsi="Segoe UI" w:cs="Segoe UI"/>
          <w:color w:val="352F3D"/>
          <w:sz w:val="21"/>
          <w:szCs w:val="21"/>
        </w:rPr>
        <w:t>. </w:t>
      </w:r>
      <w:r>
        <w:rPr>
          <w:rStyle w:val="Emphasis"/>
          <w:rFonts w:ascii="Segoe UI" w:hAnsi="Segoe UI" w:cs="Segoe UI"/>
          <w:color w:val="352F3D"/>
          <w:sz w:val="21"/>
          <w:szCs w:val="21"/>
        </w:rPr>
        <w:t>Didascalia Apostolorum</w:t>
      </w:r>
      <w:r>
        <w:rPr>
          <w:rFonts w:ascii="Segoe UI" w:hAnsi="Segoe UI" w:cs="Segoe UI"/>
          <w:color w:val="352F3D"/>
          <w:sz w:val="21"/>
          <w:szCs w:val="21"/>
        </w:rPr>
        <w:t>, Connolly translation (</w:t>
      </w:r>
      <w:hyperlink r:id="rId12" w:history="1">
        <w:r>
          <w:rPr>
            <w:rStyle w:val="Hyperlink"/>
            <w:rFonts w:ascii="Segoe UI" w:hAnsi="Segoe UI" w:cs="Segoe UI"/>
            <w:color w:val="7138CC"/>
            <w:sz w:val="21"/>
            <w:szCs w:val="21"/>
          </w:rPr>
          <w:t>https://www.womendeacons.org/didascalia-apostolorum/</w:t>
        </w:r>
      </w:hyperlink>
      <w:r>
        <w:rPr>
          <w:rFonts w:ascii="Segoe UI" w:hAnsi="Segoe UI" w:cs="Segoe UI"/>
          <w:color w:val="352F3D"/>
          <w:sz w:val="21"/>
          <w:szCs w:val="21"/>
        </w:rPr>
        <w:t>). Origen, </w:t>
      </w:r>
      <w:r>
        <w:rPr>
          <w:rStyle w:val="Emphasis"/>
          <w:rFonts w:ascii="Segoe UI" w:hAnsi="Segoe UI" w:cs="Segoe UI"/>
          <w:color w:val="352F3D"/>
          <w:sz w:val="21"/>
          <w:szCs w:val="21"/>
        </w:rPr>
        <w:t>Fragments on 1 Corinthians</w:t>
      </w:r>
      <w:r>
        <w:rPr>
          <w:rFonts w:ascii="Segoe UI" w:hAnsi="Segoe UI" w:cs="Segoe UI"/>
          <w:color w:val="352F3D"/>
          <w:sz w:val="21"/>
          <w:szCs w:val="21"/>
        </w:rPr>
        <w:t> 74.</w:t>
      </w:r>
    </w:p>
    <w:p w14:paraId="638A84A7" w14:textId="77777777" w:rsidR="00A94C8F" w:rsidRDefault="00A94C8F" w:rsidP="00A94C8F">
      <w:pPr>
        <w:pStyle w:val="code-line"/>
        <w:spacing w:before="0" w:beforeAutospacing="0" w:after="240" w:afterAutospacing="0"/>
        <w:rPr>
          <w:rFonts w:ascii="Segoe UI" w:hAnsi="Segoe UI" w:cs="Segoe UI"/>
          <w:color w:val="352F3D"/>
          <w:sz w:val="21"/>
          <w:szCs w:val="21"/>
        </w:rPr>
      </w:pPr>
      <w:r>
        <w:rPr>
          <w:rStyle w:val="Strong"/>
          <w:rFonts w:ascii="Segoe UI" w:hAnsi="Segoe UI" w:cs="Segoe UI"/>
          <w:color w:val="352F3D"/>
          <w:sz w:val="21"/>
          <w:szCs w:val="21"/>
        </w:rPr>
        <w:t>Syntax and lexicography.</w:t>
      </w:r>
      <w:r>
        <w:rPr>
          <w:rFonts w:ascii="Segoe UI" w:hAnsi="Segoe UI" w:cs="Segoe UI"/>
          <w:color w:val="352F3D"/>
          <w:sz w:val="21"/>
          <w:szCs w:val="21"/>
        </w:rPr>
        <w:t> Andreas J. Köstenberger, "A Complex Sentence Structure in 1 Timothy 2:12," in </w:t>
      </w:r>
      <w:r>
        <w:rPr>
          <w:rStyle w:val="Emphasis"/>
          <w:rFonts w:ascii="Segoe UI" w:hAnsi="Segoe UI" w:cs="Segoe UI"/>
          <w:color w:val="352F3D"/>
          <w:sz w:val="21"/>
          <w:szCs w:val="21"/>
        </w:rPr>
        <w:t>Women in the Church: An Interpretation and Application of 1 Timothy 2:9–15</w:t>
      </w:r>
      <w:r>
        <w:rPr>
          <w:rFonts w:ascii="Segoe UI" w:hAnsi="Segoe UI" w:cs="Segoe UI"/>
          <w:color w:val="352F3D"/>
          <w:sz w:val="21"/>
          <w:szCs w:val="21"/>
        </w:rPr>
        <w:t>, 3rd ed., ed. Köstenberger and Thomas R. Schreiner (Crossway, 2016), 117–62. A. L. Bowman, "Women in Ministry: An Exegetical Study of 1 Timothy 2:11–15," </w:t>
      </w:r>
      <w:r>
        <w:rPr>
          <w:rStyle w:val="Emphasis"/>
          <w:rFonts w:ascii="Segoe UI" w:hAnsi="Segoe UI" w:cs="Segoe UI"/>
          <w:color w:val="352F3D"/>
          <w:sz w:val="21"/>
          <w:szCs w:val="21"/>
        </w:rPr>
        <w:t>Bibliotheca Sacra</w:t>
      </w:r>
      <w:r>
        <w:rPr>
          <w:rFonts w:ascii="Segoe UI" w:hAnsi="Segoe UI" w:cs="Segoe UI"/>
          <w:color w:val="352F3D"/>
          <w:sz w:val="21"/>
          <w:szCs w:val="21"/>
        </w:rPr>
        <w:t> 149 (1992). S. M. Baugh on the Ephesian background.</w:t>
      </w:r>
    </w:p>
    <w:p w14:paraId="75293C02" w14:textId="49F008F8" w:rsidR="00B403DA" w:rsidRDefault="00A94C8F" w:rsidP="00B403DA">
      <w:pPr>
        <w:pStyle w:val="Heading1"/>
        <w:spacing w:before="0" w:after="0" w:line="240" w:lineRule="auto"/>
        <w:rPr>
          <w:rFonts w:ascii="Segoe UI" w:hAnsi="Segoe UI" w:cs="Segoe UI"/>
          <w:color w:val="352F3D"/>
          <w:sz w:val="21"/>
          <w:szCs w:val="21"/>
        </w:rPr>
      </w:pPr>
      <w:r>
        <w:rPr>
          <w:rStyle w:val="Strong"/>
          <w:rFonts w:ascii="Segoe UI" w:hAnsi="Segoe UI" w:cs="Segoe UI"/>
          <w:color w:val="352F3D"/>
          <w:sz w:val="21"/>
          <w:szCs w:val="21"/>
        </w:rPr>
        <w:lastRenderedPageBreak/>
        <w:t>Representative opposing views.</w:t>
      </w:r>
      <w:r>
        <w:rPr>
          <w:rFonts w:ascii="Segoe UI" w:hAnsi="Segoe UI" w:cs="Segoe UI"/>
          <w:color w:val="352F3D"/>
          <w:sz w:val="21"/>
          <w:szCs w:val="21"/>
        </w:rPr>
        <w:t> Philip B. Payne on the syntax of 1 Timothy 2:12. Margaret Mowczko, "1 Tim 2:12 and Authentein" (</w:t>
      </w:r>
      <w:hyperlink r:id="rId13" w:history="1">
        <w:r>
          <w:rPr>
            <w:rStyle w:val="Hyperlink"/>
            <w:rFonts w:ascii="Segoe UI" w:hAnsi="Segoe UI" w:cs="Segoe UI"/>
            <w:color w:val="7138CC"/>
            <w:sz w:val="21"/>
            <w:szCs w:val="21"/>
          </w:rPr>
          <w:t>https://michaelfbird.subst</w:t>
        </w:r>
        <w:r>
          <w:rPr>
            <w:rStyle w:val="Hyperlink"/>
            <w:rFonts w:ascii="Segoe UI" w:hAnsi="Segoe UI" w:cs="Segoe UI"/>
            <w:color w:val="7138CC"/>
            <w:sz w:val="21"/>
            <w:szCs w:val="21"/>
          </w:rPr>
          <w:t>a</w:t>
        </w:r>
        <w:r>
          <w:rPr>
            <w:rStyle w:val="Hyperlink"/>
            <w:rFonts w:ascii="Segoe UI" w:hAnsi="Segoe UI" w:cs="Segoe UI"/>
            <w:color w:val="7138CC"/>
            <w:sz w:val="21"/>
            <w:szCs w:val="21"/>
          </w:rPr>
          <w:t>ck.com/p/1-tim-212-and-authentein</w:t>
        </w:r>
      </w:hyperlink>
      <w:r>
        <w:rPr>
          <w:rFonts w:ascii="Segoe UI" w:hAnsi="Segoe UI" w:cs="Segoe UI"/>
          <w:color w:val="352F3D"/>
          <w:sz w:val="21"/>
          <w:szCs w:val="21"/>
        </w:rPr>
        <w:t>). Richard and Catherine Kroeger, </w:t>
      </w:r>
      <w:r>
        <w:rPr>
          <w:rStyle w:val="Emphasis"/>
          <w:rFonts w:ascii="Segoe UI" w:hAnsi="Segoe UI" w:cs="Segoe UI"/>
          <w:color w:val="352F3D"/>
          <w:sz w:val="21"/>
          <w:szCs w:val="21"/>
        </w:rPr>
        <w:t>I Suffer Not a Woman</w:t>
      </w:r>
      <w:r>
        <w:rPr>
          <w:rFonts w:ascii="Segoe UI" w:hAnsi="Segoe UI" w:cs="Segoe UI"/>
          <w:color w:val="352F3D"/>
          <w:sz w:val="21"/>
          <w:szCs w:val="21"/>
        </w:rPr>
        <w:t> (1992). John Mark Hicks, "Fourteen Questions About and Twelve Interpretations of 1 Timothy 2:12" (</w:t>
      </w:r>
      <w:hyperlink r:id="rId14" w:history="1">
        <w:r>
          <w:rPr>
            <w:rStyle w:val="Hyperlink"/>
            <w:rFonts w:ascii="Segoe UI" w:hAnsi="Segoe UI" w:cs="Segoe UI"/>
            <w:color w:val="7138CC"/>
            <w:sz w:val="21"/>
            <w:szCs w:val="21"/>
          </w:rPr>
          <w:t>https://johnmarkhicks.com/2021/03/15/fourteen-questions-about-and-eleven-interpretations-of-1-timothy-212/</w:t>
        </w:r>
      </w:hyperlink>
      <w:r>
        <w:rPr>
          <w:rFonts w:ascii="Segoe UI" w:hAnsi="Segoe UI" w:cs="Segoe UI"/>
          <w:color w:val="352F3D"/>
          <w:sz w:val="21"/>
          <w:szCs w:val="21"/>
        </w:rPr>
        <w:t>).</w:t>
      </w:r>
    </w:p>
    <w:p w14:paraId="2676671E" w14:textId="77777777" w:rsidR="00B403DA" w:rsidRPr="00B403DA" w:rsidRDefault="00B403DA" w:rsidP="00B403DA">
      <w:pPr>
        <w:spacing w:after="0" w:line="240" w:lineRule="auto"/>
      </w:pPr>
    </w:p>
    <w:p w14:paraId="08F5620A" w14:textId="587AFEC1" w:rsidR="00B403DA" w:rsidRPr="00B403DA" w:rsidRDefault="00B403DA" w:rsidP="00B403DA">
      <w:pPr>
        <w:pStyle w:val="code-line"/>
        <w:spacing w:before="0" w:beforeAutospacing="0" w:after="240" w:afterAutospacing="0"/>
        <w:rPr>
          <w:rStyle w:val="Strong"/>
          <w:rFonts w:ascii="Segoe UI" w:hAnsi="Segoe UI" w:cs="Segoe UI"/>
          <w:b w:val="0"/>
          <w:bCs w:val="0"/>
          <w:color w:val="352F3D"/>
          <w:sz w:val="21"/>
          <w:szCs w:val="21"/>
        </w:rPr>
      </w:pPr>
      <w:r w:rsidRPr="00B403DA">
        <w:rPr>
          <w:rStyle w:val="Strong"/>
          <w:rFonts w:ascii="Segoe UI" w:hAnsi="Segoe UI" w:cs="Segoe UI"/>
          <w:color w:val="352F3D"/>
          <w:sz w:val="21"/>
          <w:szCs w:val="21"/>
        </w:rPr>
        <w:t>Feminism and the Bible</w:t>
      </w:r>
      <w:r>
        <w:rPr>
          <w:rStyle w:val="Strong"/>
          <w:rFonts w:ascii="Segoe UI" w:hAnsi="Segoe UI" w:cs="Segoe UI"/>
          <w:color w:val="352F3D"/>
          <w:sz w:val="21"/>
          <w:szCs w:val="21"/>
        </w:rPr>
        <w:t>.</w:t>
      </w:r>
      <w:r w:rsidRPr="00B403DA">
        <w:rPr>
          <w:rStyle w:val="Strong"/>
          <w:rFonts w:ascii="Segoe UI" w:hAnsi="Segoe UI" w:cs="Segoe UI"/>
          <w:color w:val="352F3D"/>
          <w:sz w:val="21"/>
          <w:szCs w:val="21"/>
        </w:rPr>
        <w:t xml:space="preserve"> </w:t>
      </w:r>
      <w:r w:rsidRPr="00B403DA">
        <w:rPr>
          <w:rStyle w:val="Strong"/>
          <w:rFonts w:ascii="Segoe UI" w:hAnsi="Segoe UI" w:cs="Segoe UI"/>
          <w:b w:val="0"/>
          <w:bCs w:val="0"/>
          <w:color w:val="352F3D"/>
          <w:sz w:val="21"/>
          <w:szCs w:val="21"/>
        </w:rPr>
        <w:t>An Analysis of Feminist Theology’s Reinterpretation of Christian Doctrine and Authority</w:t>
      </w:r>
      <w:r>
        <w:rPr>
          <w:rStyle w:val="Strong"/>
          <w:rFonts w:ascii="Segoe UI" w:hAnsi="Segoe UI" w:cs="Segoe UI"/>
          <w:b w:val="0"/>
          <w:bCs w:val="0"/>
          <w:color w:val="352F3D"/>
          <w:sz w:val="21"/>
          <w:szCs w:val="21"/>
        </w:rPr>
        <w:t xml:space="preserve"> (</w:t>
      </w:r>
      <w:hyperlink r:id="rId15" w:history="1">
        <w:r w:rsidRPr="009438FA">
          <w:rPr>
            <w:rStyle w:val="Hyperlink"/>
            <w:rFonts w:ascii="Segoe UI" w:hAnsi="Segoe UI" w:cs="Segoe UI"/>
            <w:sz w:val="21"/>
            <w:szCs w:val="21"/>
          </w:rPr>
          <w:t>https://uasvbible.org/2025/04/24/feminism-and-the-bible-an-analysis-of-feminist-theologys-reinterpretation-of-christian-doctrine-and-au</w:t>
        </w:r>
        <w:r w:rsidRPr="009438FA">
          <w:rPr>
            <w:rStyle w:val="Hyperlink"/>
            <w:rFonts w:ascii="Segoe UI" w:hAnsi="Segoe UI" w:cs="Segoe UI"/>
            <w:sz w:val="21"/>
            <w:szCs w:val="21"/>
          </w:rPr>
          <w:t>t</w:t>
        </w:r>
        <w:r w:rsidRPr="009438FA">
          <w:rPr>
            <w:rStyle w:val="Hyperlink"/>
            <w:rFonts w:ascii="Segoe UI" w:hAnsi="Segoe UI" w:cs="Segoe UI"/>
            <w:sz w:val="21"/>
            <w:szCs w:val="21"/>
          </w:rPr>
          <w:t>hority/</w:t>
        </w:r>
      </w:hyperlink>
      <w:r w:rsidRPr="00B403DA">
        <w:rPr>
          <w:rStyle w:val="Strong"/>
          <w:rFonts w:ascii="Segoe UI" w:hAnsi="Segoe UI" w:cs="Segoe UI"/>
          <w:b w:val="0"/>
          <w:bCs w:val="0"/>
          <w:color w:val="352F3D"/>
          <w:sz w:val="21"/>
          <w:szCs w:val="21"/>
        </w:rPr>
        <w:t>)</w:t>
      </w:r>
    </w:p>
    <w:p w14:paraId="7BBE395B" w14:textId="7628BB8B" w:rsidR="00B403DA" w:rsidRPr="00B403DA" w:rsidRDefault="00B403DA" w:rsidP="00B403DA">
      <w:pPr>
        <w:pStyle w:val="code-line"/>
        <w:spacing w:before="0" w:beforeAutospacing="0" w:after="240" w:afterAutospacing="0"/>
        <w:rPr>
          <w:rStyle w:val="Strong"/>
          <w:rFonts w:ascii="Segoe UI" w:hAnsi="Segoe UI" w:cs="Segoe UI"/>
          <w:color w:val="352F3D"/>
          <w:sz w:val="21"/>
          <w:szCs w:val="21"/>
        </w:rPr>
      </w:pPr>
      <w:r w:rsidRPr="00B403DA">
        <w:rPr>
          <w:rStyle w:val="Strong"/>
          <w:rFonts w:ascii="Segoe UI" w:hAnsi="Segoe UI" w:cs="Segoe UI"/>
          <w:color w:val="352F3D"/>
          <w:sz w:val="21"/>
          <w:szCs w:val="21"/>
        </w:rPr>
        <w:t>Egalitarian versus Complementarian</w:t>
      </w:r>
      <w:r w:rsidRPr="00B403DA">
        <w:rPr>
          <w:rStyle w:val="Strong"/>
          <w:rFonts w:ascii="Segoe UI" w:hAnsi="Segoe UI" w:cs="Segoe UI"/>
          <w:b w:val="0"/>
          <w:bCs w:val="0"/>
          <w:color w:val="352F3D"/>
          <w:sz w:val="21"/>
          <w:szCs w:val="21"/>
        </w:rPr>
        <w:t xml:space="preserve"> – Which one is correct?</w:t>
      </w:r>
      <w:r>
        <w:rPr>
          <w:rStyle w:val="Strong"/>
          <w:rFonts w:ascii="Segoe UI" w:hAnsi="Segoe UI" w:cs="Segoe UI"/>
          <w:color w:val="352F3D"/>
          <w:sz w:val="21"/>
          <w:szCs w:val="21"/>
        </w:rPr>
        <w:t xml:space="preserve"> </w:t>
      </w:r>
      <w:r w:rsidRPr="00B403DA">
        <w:rPr>
          <w:rStyle w:val="Strong"/>
          <w:rFonts w:ascii="Segoe UI" w:hAnsi="Segoe UI" w:cs="Segoe UI"/>
          <w:b w:val="0"/>
          <w:bCs w:val="0"/>
          <w:color w:val="352F3D"/>
          <w:sz w:val="21"/>
          <w:szCs w:val="21"/>
        </w:rPr>
        <w:t>(</w:t>
      </w:r>
      <w:hyperlink r:id="rId16" w:history="1">
        <w:r w:rsidRPr="009438FA">
          <w:rPr>
            <w:rStyle w:val="Hyperlink"/>
            <w:rFonts w:ascii="Segoe UI" w:hAnsi="Segoe UI" w:cs="Segoe UI"/>
            <w:sz w:val="21"/>
            <w:szCs w:val="21"/>
          </w:rPr>
          <w:t>https://www.yo</w:t>
        </w:r>
        <w:r w:rsidRPr="009438FA">
          <w:rPr>
            <w:rStyle w:val="Hyperlink"/>
            <w:rFonts w:ascii="Segoe UI" w:hAnsi="Segoe UI" w:cs="Segoe UI"/>
            <w:sz w:val="21"/>
            <w:szCs w:val="21"/>
          </w:rPr>
          <w:t>u</w:t>
        </w:r>
        <w:r w:rsidRPr="009438FA">
          <w:rPr>
            <w:rStyle w:val="Hyperlink"/>
            <w:rFonts w:ascii="Segoe UI" w:hAnsi="Segoe UI" w:cs="Segoe UI"/>
            <w:sz w:val="21"/>
            <w:szCs w:val="21"/>
          </w:rPr>
          <w:t>tube.com/watch?v=PFwvdeUjt5s</w:t>
        </w:r>
      </w:hyperlink>
      <w:r w:rsidRPr="00B403DA">
        <w:rPr>
          <w:rStyle w:val="Strong"/>
          <w:rFonts w:ascii="Segoe UI" w:hAnsi="Segoe UI" w:cs="Segoe UI"/>
          <w:b w:val="0"/>
          <w:bCs w:val="0"/>
          <w:color w:val="352F3D"/>
          <w:sz w:val="21"/>
          <w:szCs w:val="21"/>
        </w:rPr>
        <w:t>)</w:t>
      </w:r>
    </w:p>
    <w:p w14:paraId="0296E004" w14:textId="6E5F5516" w:rsidR="00A94C8F" w:rsidRPr="00D24778" w:rsidRDefault="00B57C66" w:rsidP="00A94C8F">
      <w:pPr>
        <w:pStyle w:val="code-line"/>
        <w:spacing w:before="0" w:beforeAutospacing="0" w:after="240" w:afterAutospacing="0"/>
        <w:rPr>
          <w:rFonts w:ascii="Segoe UI" w:hAnsi="Segoe UI" w:cs="Segoe UI"/>
          <w:sz w:val="21"/>
          <w:szCs w:val="21"/>
        </w:rPr>
      </w:pPr>
      <w:r w:rsidRPr="00B57C66">
        <w:rPr>
          <w:rFonts w:ascii="Segoe UI" w:hAnsi="Segoe UI" w:cs="Segoe UI"/>
          <w:b/>
          <w:bCs/>
          <w:color w:val="352F3D"/>
          <w:sz w:val="21"/>
          <w:szCs w:val="21"/>
        </w:rPr>
        <w:t>The Great Feminization</w:t>
      </w:r>
      <w:r>
        <w:rPr>
          <w:rFonts w:ascii="Segoe UI" w:hAnsi="Segoe UI" w:cs="Segoe UI"/>
          <w:color w:val="352F3D"/>
          <w:sz w:val="21"/>
          <w:szCs w:val="21"/>
        </w:rPr>
        <w:t xml:space="preserve">.  An analysis of modern societal trends toward a plurality of females within traditionally male institutions.  </w:t>
      </w:r>
      <w:r w:rsidRPr="00D24778">
        <w:rPr>
          <w:rFonts w:ascii="Segoe UI" w:hAnsi="Segoe UI" w:cs="Segoe UI"/>
          <w:color w:val="352F3D"/>
          <w:sz w:val="21"/>
          <w:szCs w:val="21"/>
        </w:rPr>
        <w:t>(</w:t>
      </w:r>
      <w:hyperlink r:id="rId17" w:history="1">
        <w:r w:rsidR="00D24778" w:rsidRPr="00D24778">
          <w:rPr>
            <w:rStyle w:val="Hyperlink"/>
            <w:rFonts w:ascii="Segoe UI" w:hAnsi="Segoe UI" w:cs="Segoe UI"/>
            <w:sz w:val="21"/>
            <w:szCs w:val="21"/>
          </w:rPr>
          <w:t>https://github.com/UsefulEngines/EvangelismPublic/blob/fce07e790d6e2a9428de731be9c85e615b2ca800/2026-Q1/Resources/TheGreatFemIntro.pdf</w:t>
        </w:r>
      </w:hyperlink>
      <w:r w:rsidR="00A70106" w:rsidRPr="00D24778">
        <w:rPr>
          <w:rFonts w:ascii="Segoe UI" w:hAnsi="Segoe UI" w:cs="Segoe UI"/>
          <w:sz w:val="21"/>
          <w:szCs w:val="21"/>
        </w:rPr>
        <w:t>)</w:t>
      </w:r>
    </w:p>
    <w:p w14:paraId="4D88DDCB" w14:textId="77777777" w:rsidR="00A70106" w:rsidRDefault="00A70106" w:rsidP="00A94C8F">
      <w:pPr>
        <w:pStyle w:val="code-line"/>
        <w:spacing w:before="0" w:beforeAutospacing="0" w:after="240" w:afterAutospacing="0"/>
        <w:rPr>
          <w:rFonts w:ascii="Segoe UI" w:hAnsi="Segoe UI" w:cs="Segoe UI"/>
          <w:color w:val="352F3D"/>
          <w:sz w:val="21"/>
          <w:szCs w:val="21"/>
        </w:rPr>
      </w:pPr>
    </w:p>
    <w:sectPr w:rsidR="00A70106" w:rsidSect="000E1AC1">
      <w:headerReference w:type="even" r:id="rId18"/>
      <w:headerReference w:type="default" r:id="rId19"/>
      <w:footerReference w:type="even" r:id="rId20"/>
      <w:footerReference w:type="default" r:id="rId21"/>
      <w:headerReference w:type="first" r:id="rId22"/>
      <w:footerReference w:type="first" r:id="rId23"/>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AF3D56" w14:textId="77777777" w:rsidR="00425303" w:rsidRDefault="00425303" w:rsidP="00CC7355">
      <w:pPr>
        <w:spacing w:after="0" w:line="240" w:lineRule="auto"/>
      </w:pPr>
      <w:r>
        <w:separator/>
      </w:r>
    </w:p>
  </w:endnote>
  <w:endnote w:type="continuationSeparator" w:id="0">
    <w:p w14:paraId="287CFA53" w14:textId="77777777" w:rsidR="00425303" w:rsidRDefault="00425303" w:rsidP="00CC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14146" w14:textId="77777777" w:rsidR="009D3E26" w:rsidRDefault="009D3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0D075" w14:textId="7ED3E0F4" w:rsidR="00CC7355" w:rsidRDefault="00CC7355" w:rsidP="00AB2CC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sidR="00AB2CC5">
      <w:rPr>
        <w:color w:val="0A1D30" w:themeColor="text2" w:themeShade="BF"/>
      </w:rPr>
      <w:t xml:space="preserve">  </w:t>
    </w:r>
  </w:p>
  <w:p w14:paraId="6B6FCD58" w14:textId="77777777" w:rsidR="00CC7355" w:rsidRDefault="00CC73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D7D7F9" w14:textId="77777777" w:rsidR="009D3E26" w:rsidRDefault="009D3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C4CDD5" w14:textId="77777777" w:rsidR="00425303" w:rsidRDefault="00425303" w:rsidP="00CC7355">
      <w:pPr>
        <w:spacing w:after="0" w:line="240" w:lineRule="auto"/>
      </w:pPr>
      <w:r>
        <w:separator/>
      </w:r>
    </w:p>
  </w:footnote>
  <w:footnote w:type="continuationSeparator" w:id="0">
    <w:p w14:paraId="0279A236" w14:textId="77777777" w:rsidR="00425303" w:rsidRDefault="00425303" w:rsidP="00CC7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E22E9" w14:textId="77777777" w:rsidR="009D3E26" w:rsidRDefault="009D3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17E77" w14:textId="77777777" w:rsidR="009D3E26" w:rsidRDefault="009D3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C98F4" w14:textId="77777777" w:rsidR="009D3E26" w:rsidRDefault="009D3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C78EC"/>
    <w:multiLevelType w:val="hybridMultilevel"/>
    <w:tmpl w:val="6EA29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392A5C"/>
    <w:multiLevelType w:val="hybridMultilevel"/>
    <w:tmpl w:val="A9081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B37C7"/>
    <w:multiLevelType w:val="multilevel"/>
    <w:tmpl w:val="023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248E2"/>
    <w:multiLevelType w:val="hybridMultilevel"/>
    <w:tmpl w:val="7F987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093696"/>
    <w:multiLevelType w:val="multilevel"/>
    <w:tmpl w:val="AAC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E0055"/>
    <w:multiLevelType w:val="hybridMultilevel"/>
    <w:tmpl w:val="B68ED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324141"/>
    <w:multiLevelType w:val="hybridMultilevel"/>
    <w:tmpl w:val="507E5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D77193"/>
    <w:multiLevelType w:val="hybridMultilevel"/>
    <w:tmpl w:val="A8AAE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1810CA"/>
    <w:multiLevelType w:val="multilevel"/>
    <w:tmpl w:val="73C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45CB2"/>
    <w:multiLevelType w:val="hybridMultilevel"/>
    <w:tmpl w:val="CE5E8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154835"/>
    <w:multiLevelType w:val="hybridMultilevel"/>
    <w:tmpl w:val="B1360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6B23EB"/>
    <w:multiLevelType w:val="multilevel"/>
    <w:tmpl w:val="6C7A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A4294"/>
    <w:multiLevelType w:val="hybridMultilevel"/>
    <w:tmpl w:val="C71E5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712890"/>
    <w:multiLevelType w:val="hybridMultilevel"/>
    <w:tmpl w:val="AF90B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245EFA"/>
    <w:multiLevelType w:val="hybridMultilevel"/>
    <w:tmpl w:val="BE323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2E6F77"/>
    <w:multiLevelType w:val="multilevel"/>
    <w:tmpl w:val="ECB2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0438D"/>
    <w:multiLevelType w:val="multilevel"/>
    <w:tmpl w:val="8BE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B3507"/>
    <w:multiLevelType w:val="multilevel"/>
    <w:tmpl w:val="326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D9535D"/>
    <w:multiLevelType w:val="multilevel"/>
    <w:tmpl w:val="9B3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F9630A"/>
    <w:multiLevelType w:val="hybridMultilevel"/>
    <w:tmpl w:val="68D89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37C73F6"/>
    <w:multiLevelType w:val="multilevel"/>
    <w:tmpl w:val="F03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402E8E"/>
    <w:multiLevelType w:val="multilevel"/>
    <w:tmpl w:val="62B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E557E"/>
    <w:multiLevelType w:val="hybridMultilevel"/>
    <w:tmpl w:val="3272C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79629E"/>
    <w:multiLevelType w:val="hybridMultilevel"/>
    <w:tmpl w:val="0C08F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E717392"/>
    <w:multiLevelType w:val="hybridMultilevel"/>
    <w:tmpl w:val="EDBAB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884B3E"/>
    <w:multiLevelType w:val="hybridMultilevel"/>
    <w:tmpl w:val="B8EA9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8105AD"/>
    <w:multiLevelType w:val="multilevel"/>
    <w:tmpl w:val="D8B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0D0F88"/>
    <w:multiLevelType w:val="multilevel"/>
    <w:tmpl w:val="077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A4295C"/>
    <w:multiLevelType w:val="hybridMultilevel"/>
    <w:tmpl w:val="E3B2E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3F6689"/>
    <w:multiLevelType w:val="multilevel"/>
    <w:tmpl w:val="D04A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220C9"/>
    <w:multiLevelType w:val="multilevel"/>
    <w:tmpl w:val="ECE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171811"/>
    <w:multiLevelType w:val="hybridMultilevel"/>
    <w:tmpl w:val="FF0C3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5293435"/>
    <w:multiLevelType w:val="hybridMultilevel"/>
    <w:tmpl w:val="A240D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5CE5976"/>
    <w:multiLevelType w:val="multilevel"/>
    <w:tmpl w:val="9EB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BC15A4"/>
    <w:multiLevelType w:val="hybridMultilevel"/>
    <w:tmpl w:val="CE10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6661D3"/>
    <w:multiLevelType w:val="hybridMultilevel"/>
    <w:tmpl w:val="67B27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A7300CC"/>
    <w:multiLevelType w:val="multilevel"/>
    <w:tmpl w:val="797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43A6C"/>
    <w:multiLevelType w:val="multilevel"/>
    <w:tmpl w:val="DCA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1D7482"/>
    <w:multiLevelType w:val="multilevel"/>
    <w:tmpl w:val="DD42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2915F7"/>
    <w:multiLevelType w:val="multilevel"/>
    <w:tmpl w:val="C482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E3DDD"/>
    <w:multiLevelType w:val="hybridMultilevel"/>
    <w:tmpl w:val="FC8AC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8C916E1"/>
    <w:multiLevelType w:val="multilevel"/>
    <w:tmpl w:val="EA2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C76A1"/>
    <w:multiLevelType w:val="multilevel"/>
    <w:tmpl w:val="B95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1628AF"/>
    <w:multiLevelType w:val="hybridMultilevel"/>
    <w:tmpl w:val="178E2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D765F5A"/>
    <w:multiLevelType w:val="multilevel"/>
    <w:tmpl w:val="A8A2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A2B5D"/>
    <w:multiLevelType w:val="hybridMultilevel"/>
    <w:tmpl w:val="9788A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FE4287D"/>
    <w:multiLevelType w:val="multilevel"/>
    <w:tmpl w:val="FC0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AD479A"/>
    <w:multiLevelType w:val="multilevel"/>
    <w:tmpl w:val="3A6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220919"/>
    <w:multiLevelType w:val="hybridMultilevel"/>
    <w:tmpl w:val="45A67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B4D56DE"/>
    <w:multiLevelType w:val="hybridMultilevel"/>
    <w:tmpl w:val="73029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D7D5148"/>
    <w:multiLevelType w:val="multilevel"/>
    <w:tmpl w:val="E55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426470"/>
    <w:multiLevelType w:val="multilevel"/>
    <w:tmpl w:val="F54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6F5E42"/>
    <w:multiLevelType w:val="multilevel"/>
    <w:tmpl w:val="C32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CC5794"/>
    <w:multiLevelType w:val="hybridMultilevel"/>
    <w:tmpl w:val="1D34A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237172F"/>
    <w:multiLevelType w:val="hybridMultilevel"/>
    <w:tmpl w:val="28BAB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24405BE"/>
    <w:multiLevelType w:val="multilevel"/>
    <w:tmpl w:val="02E2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EC40E6"/>
    <w:multiLevelType w:val="multilevel"/>
    <w:tmpl w:val="FCCC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C66BF6"/>
    <w:multiLevelType w:val="multilevel"/>
    <w:tmpl w:val="0F0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A44A5E"/>
    <w:multiLevelType w:val="multilevel"/>
    <w:tmpl w:val="781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9787A"/>
    <w:multiLevelType w:val="multilevel"/>
    <w:tmpl w:val="479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EC4B35"/>
    <w:multiLevelType w:val="multilevel"/>
    <w:tmpl w:val="073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1630B"/>
    <w:multiLevelType w:val="hybridMultilevel"/>
    <w:tmpl w:val="DAD6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4F054D"/>
    <w:multiLevelType w:val="multilevel"/>
    <w:tmpl w:val="0EF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C8A30FA"/>
    <w:multiLevelType w:val="multilevel"/>
    <w:tmpl w:val="68A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F70537"/>
    <w:multiLevelType w:val="hybridMultilevel"/>
    <w:tmpl w:val="60529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FEF04F0"/>
    <w:multiLevelType w:val="hybridMultilevel"/>
    <w:tmpl w:val="4BC65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06947E4"/>
    <w:multiLevelType w:val="hybridMultilevel"/>
    <w:tmpl w:val="927AE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237025E"/>
    <w:multiLevelType w:val="multilevel"/>
    <w:tmpl w:val="1A2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8916AF"/>
    <w:multiLevelType w:val="hybridMultilevel"/>
    <w:tmpl w:val="FB047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53A788C"/>
    <w:multiLevelType w:val="hybridMultilevel"/>
    <w:tmpl w:val="C47AF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A706F81"/>
    <w:multiLevelType w:val="hybridMultilevel"/>
    <w:tmpl w:val="CB88A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E2528D5"/>
    <w:multiLevelType w:val="hybridMultilevel"/>
    <w:tmpl w:val="7F821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99529444">
    <w:abstractNumId w:val="46"/>
  </w:num>
  <w:num w:numId="2" w16cid:durableId="755832445">
    <w:abstractNumId w:val="56"/>
  </w:num>
  <w:num w:numId="3" w16cid:durableId="1965889192">
    <w:abstractNumId w:val="50"/>
  </w:num>
  <w:num w:numId="4" w16cid:durableId="1888492114">
    <w:abstractNumId w:val="57"/>
  </w:num>
  <w:num w:numId="5" w16cid:durableId="889073047">
    <w:abstractNumId w:val="52"/>
  </w:num>
  <w:num w:numId="6" w16cid:durableId="1015381404">
    <w:abstractNumId w:val="26"/>
  </w:num>
  <w:num w:numId="7" w16cid:durableId="1098066853">
    <w:abstractNumId w:val="17"/>
  </w:num>
  <w:num w:numId="8" w16cid:durableId="960459058">
    <w:abstractNumId w:val="15"/>
    <w:lvlOverride w:ilvl="0">
      <w:startOverride w:val="1"/>
    </w:lvlOverride>
  </w:num>
  <w:num w:numId="9" w16cid:durableId="1314875142">
    <w:abstractNumId w:val="59"/>
  </w:num>
  <w:num w:numId="10" w16cid:durableId="1002854685">
    <w:abstractNumId w:val="27"/>
  </w:num>
  <w:num w:numId="11" w16cid:durableId="991300420">
    <w:abstractNumId w:val="2"/>
  </w:num>
  <w:num w:numId="12" w16cid:durableId="916279949">
    <w:abstractNumId w:val="67"/>
  </w:num>
  <w:num w:numId="13" w16cid:durableId="1916088287">
    <w:abstractNumId w:val="37"/>
  </w:num>
  <w:num w:numId="14" w16cid:durableId="1293098226">
    <w:abstractNumId w:val="42"/>
  </w:num>
  <w:num w:numId="15" w16cid:durableId="2043627147">
    <w:abstractNumId w:val="29"/>
    <w:lvlOverride w:ilvl="0">
      <w:startOverride w:val="1"/>
    </w:lvlOverride>
  </w:num>
  <w:num w:numId="16" w16cid:durableId="2096903547">
    <w:abstractNumId w:val="11"/>
    <w:lvlOverride w:ilvl="0">
      <w:startOverride w:val="1"/>
    </w:lvlOverride>
  </w:num>
  <w:num w:numId="17" w16cid:durableId="622150428">
    <w:abstractNumId w:val="62"/>
  </w:num>
  <w:num w:numId="18" w16cid:durableId="1593663517">
    <w:abstractNumId w:val="44"/>
    <w:lvlOverride w:ilvl="0">
      <w:startOverride w:val="2"/>
    </w:lvlOverride>
  </w:num>
  <w:num w:numId="19" w16cid:durableId="64960212">
    <w:abstractNumId w:val="33"/>
  </w:num>
  <w:num w:numId="20" w16cid:durableId="305357454">
    <w:abstractNumId w:val="18"/>
  </w:num>
  <w:num w:numId="21" w16cid:durableId="745808480">
    <w:abstractNumId w:val="30"/>
  </w:num>
  <w:num w:numId="22" w16cid:durableId="1240405972">
    <w:abstractNumId w:val="63"/>
  </w:num>
  <w:num w:numId="23" w16cid:durableId="523792881">
    <w:abstractNumId w:val="20"/>
  </w:num>
  <w:num w:numId="24" w16cid:durableId="448551716">
    <w:abstractNumId w:val="4"/>
  </w:num>
  <w:num w:numId="25" w16cid:durableId="1153642008">
    <w:abstractNumId w:val="3"/>
  </w:num>
  <w:num w:numId="26" w16cid:durableId="94592503">
    <w:abstractNumId w:val="1"/>
  </w:num>
  <w:num w:numId="27" w16cid:durableId="1999308636">
    <w:abstractNumId w:val="10"/>
  </w:num>
  <w:num w:numId="28" w16cid:durableId="603614301">
    <w:abstractNumId w:val="69"/>
  </w:num>
  <w:num w:numId="29" w16cid:durableId="1312447282">
    <w:abstractNumId w:val="43"/>
  </w:num>
  <w:num w:numId="30" w16cid:durableId="2076319705">
    <w:abstractNumId w:val="64"/>
  </w:num>
  <w:num w:numId="31" w16cid:durableId="1956053824">
    <w:abstractNumId w:val="45"/>
  </w:num>
  <w:num w:numId="32" w16cid:durableId="1207991992">
    <w:abstractNumId w:val="25"/>
  </w:num>
  <w:num w:numId="33" w16cid:durableId="1036731518">
    <w:abstractNumId w:val="54"/>
  </w:num>
  <w:num w:numId="34" w16cid:durableId="1599603742">
    <w:abstractNumId w:val="47"/>
  </w:num>
  <w:num w:numId="35" w16cid:durableId="978147876">
    <w:abstractNumId w:val="8"/>
  </w:num>
  <w:num w:numId="36" w16cid:durableId="1928268410">
    <w:abstractNumId w:val="6"/>
  </w:num>
  <w:num w:numId="37" w16cid:durableId="93864601">
    <w:abstractNumId w:val="28"/>
  </w:num>
  <w:num w:numId="38" w16cid:durableId="80833677">
    <w:abstractNumId w:val="12"/>
  </w:num>
  <w:num w:numId="39" w16cid:durableId="1359163941">
    <w:abstractNumId w:val="66"/>
  </w:num>
  <w:num w:numId="40" w16cid:durableId="2062287721">
    <w:abstractNumId w:val="9"/>
  </w:num>
  <w:num w:numId="41" w16cid:durableId="1609964985">
    <w:abstractNumId w:val="68"/>
  </w:num>
  <w:num w:numId="42" w16cid:durableId="1726829911">
    <w:abstractNumId w:val="31"/>
  </w:num>
  <w:num w:numId="43" w16cid:durableId="545409222">
    <w:abstractNumId w:val="14"/>
  </w:num>
  <w:num w:numId="44" w16cid:durableId="987436704">
    <w:abstractNumId w:val="24"/>
  </w:num>
  <w:num w:numId="45" w16cid:durableId="327563921">
    <w:abstractNumId w:val="71"/>
  </w:num>
  <w:num w:numId="46" w16cid:durableId="142547506">
    <w:abstractNumId w:val="19"/>
  </w:num>
  <w:num w:numId="47" w16cid:durableId="137721961">
    <w:abstractNumId w:val="23"/>
  </w:num>
  <w:num w:numId="48" w16cid:durableId="662438916">
    <w:abstractNumId w:val="40"/>
  </w:num>
  <w:num w:numId="49" w16cid:durableId="1975482592">
    <w:abstractNumId w:val="65"/>
  </w:num>
  <w:num w:numId="50" w16cid:durableId="576016668">
    <w:abstractNumId w:val="53"/>
  </w:num>
  <w:num w:numId="51" w16cid:durableId="814838419">
    <w:abstractNumId w:val="35"/>
  </w:num>
  <w:num w:numId="52" w16cid:durableId="1769303781">
    <w:abstractNumId w:val="7"/>
  </w:num>
  <w:num w:numId="53" w16cid:durableId="874578725">
    <w:abstractNumId w:val="49"/>
  </w:num>
  <w:num w:numId="54" w16cid:durableId="525102530">
    <w:abstractNumId w:val="0"/>
  </w:num>
  <w:num w:numId="55" w16cid:durableId="1362779207">
    <w:abstractNumId w:val="48"/>
  </w:num>
  <w:num w:numId="56" w16cid:durableId="929117371">
    <w:abstractNumId w:val="13"/>
  </w:num>
  <w:num w:numId="57" w16cid:durableId="554313563">
    <w:abstractNumId w:val="5"/>
  </w:num>
  <w:num w:numId="58" w16cid:durableId="1573350598">
    <w:abstractNumId w:val="32"/>
  </w:num>
  <w:num w:numId="59" w16cid:durableId="24261488">
    <w:abstractNumId w:val="70"/>
  </w:num>
  <w:num w:numId="60" w16cid:durableId="349261719">
    <w:abstractNumId w:val="22"/>
  </w:num>
  <w:num w:numId="61" w16cid:durableId="347759930">
    <w:abstractNumId w:val="34"/>
  </w:num>
  <w:num w:numId="62" w16cid:durableId="793451397">
    <w:abstractNumId w:val="61"/>
  </w:num>
  <w:num w:numId="63" w16cid:durableId="394478013">
    <w:abstractNumId w:val="51"/>
  </w:num>
  <w:num w:numId="64" w16cid:durableId="855265069">
    <w:abstractNumId w:val="39"/>
  </w:num>
  <w:num w:numId="65" w16cid:durableId="738477658">
    <w:abstractNumId w:val="21"/>
  </w:num>
  <w:num w:numId="66" w16cid:durableId="659230552">
    <w:abstractNumId w:val="36"/>
  </w:num>
  <w:num w:numId="67" w16cid:durableId="1838617395">
    <w:abstractNumId w:val="58"/>
  </w:num>
  <w:num w:numId="68" w16cid:durableId="1416055151">
    <w:abstractNumId w:val="41"/>
  </w:num>
  <w:num w:numId="69" w16cid:durableId="1160391210">
    <w:abstractNumId w:val="60"/>
  </w:num>
  <w:num w:numId="70" w16cid:durableId="1333485775">
    <w:abstractNumId w:val="55"/>
  </w:num>
  <w:num w:numId="71" w16cid:durableId="2085493696">
    <w:abstractNumId w:val="16"/>
  </w:num>
  <w:num w:numId="72" w16cid:durableId="390737751">
    <w:abstractNumId w:val="38"/>
  </w:num>
  <w:numIdMacAtCleanup w:val="6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08"/>
    <w:rsid w:val="00006321"/>
    <w:rsid w:val="000066B3"/>
    <w:rsid w:val="00006F75"/>
    <w:rsid w:val="00012E92"/>
    <w:rsid w:val="00041E48"/>
    <w:rsid w:val="000509BA"/>
    <w:rsid w:val="000615E6"/>
    <w:rsid w:val="00067038"/>
    <w:rsid w:val="000B09DD"/>
    <w:rsid w:val="000E1AC1"/>
    <w:rsid w:val="000E3ED2"/>
    <w:rsid w:val="000E7258"/>
    <w:rsid w:val="0012297B"/>
    <w:rsid w:val="00136753"/>
    <w:rsid w:val="00136E76"/>
    <w:rsid w:val="00161BC9"/>
    <w:rsid w:val="00194213"/>
    <w:rsid w:val="001A7A06"/>
    <w:rsid w:val="001B4436"/>
    <w:rsid w:val="001C0A27"/>
    <w:rsid w:val="001D1438"/>
    <w:rsid w:val="002016EA"/>
    <w:rsid w:val="00202124"/>
    <w:rsid w:val="00204ECB"/>
    <w:rsid w:val="00225A8E"/>
    <w:rsid w:val="00256407"/>
    <w:rsid w:val="00261922"/>
    <w:rsid w:val="00284E6F"/>
    <w:rsid w:val="0029069A"/>
    <w:rsid w:val="002964E1"/>
    <w:rsid w:val="00314084"/>
    <w:rsid w:val="00321871"/>
    <w:rsid w:val="00325235"/>
    <w:rsid w:val="00346D6C"/>
    <w:rsid w:val="00372881"/>
    <w:rsid w:val="004041F7"/>
    <w:rsid w:val="00425303"/>
    <w:rsid w:val="00445383"/>
    <w:rsid w:val="00446601"/>
    <w:rsid w:val="00477489"/>
    <w:rsid w:val="004903FD"/>
    <w:rsid w:val="00495A07"/>
    <w:rsid w:val="004C5DD3"/>
    <w:rsid w:val="004E4699"/>
    <w:rsid w:val="00510A5E"/>
    <w:rsid w:val="00587724"/>
    <w:rsid w:val="00596A8F"/>
    <w:rsid w:val="005A197F"/>
    <w:rsid w:val="005D562B"/>
    <w:rsid w:val="005E7A4F"/>
    <w:rsid w:val="006100FE"/>
    <w:rsid w:val="00611331"/>
    <w:rsid w:val="00623004"/>
    <w:rsid w:val="00635C6F"/>
    <w:rsid w:val="00636FE4"/>
    <w:rsid w:val="00642A63"/>
    <w:rsid w:val="00644255"/>
    <w:rsid w:val="006474A5"/>
    <w:rsid w:val="00654F6E"/>
    <w:rsid w:val="00675305"/>
    <w:rsid w:val="00677D33"/>
    <w:rsid w:val="006928FD"/>
    <w:rsid w:val="006A1D53"/>
    <w:rsid w:val="006A3DA6"/>
    <w:rsid w:val="006A3F18"/>
    <w:rsid w:val="006B2541"/>
    <w:rsid w:val="006B6BAF"/>
    <w:rsid w:val="006C2824"/>
    <w:rsid w:val="006C6184"/>
    <w:rsid w:val="006C6820"/>
    <w:rsid w:val="006D0BDD"/>
    <w:rsid w:val="006F4F22"/>
    <w:rsid w:val="00706889"/>
    <w:rsid w:val="00707F74"/>
    <w:rsid w:val="007204AC"/>
    <w:rsid w:val="00746DF5"/>
    <w:rsid w:val="007534F5"/>
    <w:rsid w:val="00770D3A"/>
    <w:rsid w:val="007B5654"/>
    <w:rsid w:val="007C0D47"/>
    <w:rsid w:val="007C250C"/>
    <w:rsid w:val="007C4FA7"/>
    <w:rsid w:val="007D5A88"/>
    <w:rsid w:val="007F263E"/>
    <w:rsid w:val="007F395A"/>
    <w:rsid w:val="008265C9"/>
    <w:rsid w:val="00852949"/>
    <w:rsid w:val="00856182"/>
    <w:rsid w:val="008678FC"/>
    <w:rsid w:val="008A2ECE"/>
    <w:rsid w:val="008B7976"/>
    <w:rsid w:val="008C52AF"/>
    <w:rsid w:val="008D1E6A"/>
    <w:rsid w:val="008E3705"/>
    <w:rsid w:val="00931DFF"/>
    <w:rsid w:val="00963B56"/>
    <w:rsid w:val="009756B9"/>
    <w:rsid w:val="00980A94"/>
    <w:rsid w:val="00980AA3"/>
    <w:rsid w:val="009A4455"/>
    <w:rsid w:val="009A64F8"/>
    <w:rsid w:val="009B4703"/>
    <w:rsid w:val="009D3E26"/>
    <w:rsid w:val="009F5623"/>
    <w:rsid w:val="00A20367"/>
    <w:rsid w:val="00A22EBA"/>
    <w:rsid w:val="00A31E82"/>
    <w:rsid w:val="00A34305"/>
    <w:rsid w:val="00A41CD2"/>
    <w:rsid w:val="00A553DD"/>
    <w:rsid w:val="00A566C2"/>
    <w:rsid w:val="00A65202"/>
    <w:rsid w:val="00A70106"/>
    <w:rsid w:val="00A876A6"/>
    <w:rsid w:val="00A94C8F"/>
    <w:rsid w:val="00AB2CC5"/>
    <w:rsid w:val="00AE267D"/>
    <w:rsid w:val="00AF5FCE"/>
    <w:rsid w:val="00B01A07"/>
    <w:rsid w:val="00B24CEB"/>
    <w:rsid w:val="00B403DA"/>
    <w:rsid w:val="00B440E9"/>
    <w:rsid w:val="00B57C66"/>
    <w:rsid w:val="00B84D11"/>
    <w:rsid w:val="00B9026E"/>
    <w:rsid w:val="00B97F6A"/>
    <w:rsid w:val="00BF23A9"/>
    <w:rsid w:val="00C00744"/>
    <w:rsid w:val="00C07B7B"/>
    <w:rsid w:val="00C46208"/>
    <w:rsid w:val="00C46992"/>
    <w:rsid w:val="00C56D96"/>
    <w:rsid w:val="00C75D40"/>
    <w:rsid w:val="00C83190"/>
    <w:rsid w:val="00CA34AD"/>
    <w:rsid w:val="00CA6CB8"/>
    <w:rsid w:val="00CC0F49"/>
    <w:rsid w:val="00CC7355"/>
    <w:rsid w:val="00CD0CCE"/>
    <w:rsid w:val="00CD601F"/>
    <w:rsid w:val="00D24778"/>
    <w:rsid w:val="00D4277D"/>
    <w:rsid w:val="00D55152"/>
    <w:rsid w:val="00D750C9"/>
    <w:rsid w:val="00D9415D"/>
    <w:rsid w:val="00DC1DB0"/>
    <w:rsid w:val="00E10437"/>
    <w:rsid w:val="00E32088"/>
    <w:rsid w:val="00E64704"/>
    <w:rsid w:val="00E6585D"/>
    <w:rsid w:val="00E72701"/>
    <w:rsid w:val="00E84811"/>
    <w:rsid w:val="00EE1EAF"/>
    <w:rsid w:val="00EF3808"/>
    <w:rsid w:val="00F151AC"/>
    <w:rsid w:val="00F469B8"/>
    <w:rsid w:val="00F50D34"/>
    <w:rsid w:val="00F56DFE"/>
    <w:rsid w:val="00F67147"/>
    <w:rsid w:val="00F675D5"/>
    <w:rsid w:val="00F70CAD"/>
    <w:rsid w:val="00F734FC"/>
    <w:rsid w:val="00F8122D"/>
    <w:rsid w:val="00F82153"/>
    <w:rsid w:val="00F8404E"/>
    <w:rsid w:val="00F8654E"/>
    <w:rsid w:val="00F8781B"/>
    <w:rsid w:val="00FC1AE3"/>
    <w:rsid w:val="00FF184E"/>
    <w:rsid w:val="00FF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182715B2"/>
  <w15:chartTrackingRefBased/>
  <w15:docId w15:val="{392C9E2A-8138-4C2C-991E-E8601BFE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922"/>
  </w:style>
  <w:style w:type="paragraph" w:styleId="Heading1">
    <w:name w:val="heading 1"/>
    <w:basedOn w:val="Normal"/>
    <w:next w:val="Normal"/>
    <w:link w:val="Heading1Char"/>
    <w:uiPriority w:val="9"/>
    <w:qFormat/>
    <w:rsid w:val="00EF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808"/>
    <w:rPr>
      <w:rFonts w:eastAsiaTheme="majorEastAsia" w:cstheme="majorBidi"/>
      <w:color w:val="272727" w:themeColor="text1" w:themeTint="D8"/>
    </w:rPr>
  </w:style>
  <w:style w:type="paragraph" w:styleId="Title">
    <w:name w:val="Title"/>
    <w:basedOn w:val="Normal"/>
    <w:next w:val="Normal"/>
    <w:link w:val="TitleChar"/>
    <w:uiPriority w:val="10"/>
    <w:qFormat/>
    <w:rsid w:val="00EF3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808"/>
    <w:pPr>
      <w:spacing w:before="160"/>
      <w:jc w:val="center"/>
    </w:pPr>
    <w:rPr>
      <w:i/>
      <w:iCs/>
      <w:color w:val="404040" w:themeColor="text1" w:themeTint="BF"/>
    </w:rPr>
  </w:style>
  <w:style w:type="character" w:customStyle="1" w:styleId="QuoteChar">
    <w:name w:val="Quote Char"/>
    <w:basedOn w:val="DefaultParagraphFont"/>
    <w:link w:val="Quote"/>
    <w:uiPriority w:val="29"/>
    <w:rsid w:val="00EF3808"/>
    <w:rPr>
      <w:i/>
      <w:iCs/>
      <w:color w:val="404040" w:themeColor="text1" w:themeTint="BF"/>
    </w:rPr>
  </w:style>
  <w:style w:type="paragraph" w:styleId="ListParagraph">
    <w:name w:val="List Paragraph"/>
    <w:basedOn w:val="Normal"/>
    <w:uiPriority w:val="34"/>
    <w:qFormat/>
    <w:rsid w:val="00EF3808"/>
    <w:pPr>
      <w:ind w:left="720"/>
      <w:contextualSpacing/>
    </w:pPr>
  </w:style>
  <w:style w:type="character" w:styleId="IntenseEmphasis">
    <w:name w:val="Intense Emphasis"/>
    <w:basedOn w:val="DefaultParagraphFont"/>
    <w:uiPriority w:val="21"/>
    <w:qFormat/>
    <w:rsid w:val="00EF3808"/>
    <w:rPr>
      <w:i/>
      <w:iCs/>
      <w:color w:val="0F4761" w:themeColor="accent1" w:themeShade="BF"/>
    </w:rPr>
  </w:style>
  <w:style w:type="paragraph" w:styleId="IntenseQuote">
    <w:name w:val="Intense Quote"/>
    <w:basedOn w:val="Normal"/>
    <w:next w:val="Normal"/>
    <w:link w:val="IntenseQuoteChar"/>
    <w:uiPriority w:val="30"/>
    <w:qFormat/>
    <w:rsid w:val="00EF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808"/>
    <w:rPr>
      <w:i/>
      <w:iCs/>
      <w:color w:val="0F4761" w:themeColor="accent1" w:themeShade="BF"/>
    </w:rPr>
  </w:style>
  <w:style w:type="character" w:styleId="IntenseReference">
    <w:name w:val="Intense Reference"/>
    <w:basedOn w:val="DefaultParagraphFont"/>
    <w:uiPriority w:val="32"/>
    <w:qFormat/>
    <w:rsid w:val="00EF3808"/>
    <w:rPr>
      <w:b/>
      <w:bCs/>
      <w:smallCaps/>
      <w:color w:val="0F4761" w:themeColor="accent1" w:themeShade="BF"/>
      <w:spacing w:val="5"/>
    </w:rPr>
  </w:style>
  <w:style w:type="paragraph" w:customStyle="1" w:styleId="BODY">
    <w:name w:val="BODY"/>
    <w:basedOn w:val="Normal"/>
    <w:uiPriority w:val="99"/>
    <w:rsid w:val="005E7A4F"/>
    <w:pPr>
      <w:autoSpaceDE w:val="0"/>
      <w:autoSpaceDN w:val="0"/>
      <w:adjustRightInd w:val="0"/>
      <w:spacing w:after="0" w:line="240" w:lineRule="auto"/>
    </w:pPr>
    <w:rPr>
      <w:rFonts w:ascii="Verdana" w:hAnsi="Verdana" w:cs="Verdana"/>
      <w:kern w:val="0"/>
      <w:lang w:val="x-none"/>
    </w:rPr>
  </w:style>
  <w:style w:type="paragraph" w:styleId="Header">
    <w:name w:val="header"/>
    <w:basedOn w:val="Normal"/>
    <w:link w:val="HeaderChar"/>
    <w:uiPriority w:val="99"/>
    <w:unhideWhenUsed/>
    <w:rsid w:val="00CC7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355"/>
  </w:style>
  <w:style w:type="paragraph" w:styleId="Footer">
    <w:name w:val="footer"/>
    <w:basedOn w:val="Normal"/>
    <w:link w:val="FooterChar"/>
    <w:uiPriority w:val="99"/>
    <w:unhideWhenUsed/>
    <w:rsid w:val="00CC7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355"/>
  </w:style>
  <w:style w:type="paragraph" w:styleId="NormalWeb">
    <w:name w:val="Normal (Web)"/>
    <w:basedOn w:val="Normal"/>
    <w:uiPriority w:val="99"/>
    <w:unhideWhenUsed/>
    <w:rsid w:val="00B01A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AE267D"/>
    <w:pPr>
      <w:spacing w:before="180" w:after="180" w:line="240" w:lineRule="auto"/>
    </w:pPr>
    <w:rPr>
      <w:kern w:val="0"/>
      <w:lang w:val="en"/>
      <w14:ligatures w14:val="none"/>
    </w:rPr>
  </w:style>
  <w:style w:type="character" w:customStyle="1" w:styleId="BodyTextChar">
    <w:name w:val="Body Text Char"/>
    <w:basedOn w:val="DefaultParagraphFont"/>
    <w:link w:val="BodyText"/>
    <w:rsid w:val="00AE267D"/>
    <w:rPr>
      <w:kern w:val="0"/>
      <w:lang w:val="en"/>
      <w14:ligatures w14:val="none"/>
    </w:rPr>
  </w:style>
  <w:style w:type="paragraph" w:customStyle="1" w:styleId="FirstParagraph">
    <w:name w:val="First Paragraph"/>
    <w:basedOn w:val="BodyText"/>
    <w:next w:val="BodyText"/>
    <w:qFormat/>
    <w:rsid w:val="00AE267D"/>
  </w:style>
  <w:style w:type="paragraph" w:customStyle="1" w:styleId="Compact">
    <w:name w:val="Compact"/>
    <w:basedOn w:val="BodyText"/>
    <w:qFormat/>
    <w:rsid w:val="00AE267D"/>
    <w:pPr>
      <w:spacing w:before="36" w:after="36"/>
    </w:pPr>
  </w:style>
  <w:style w:type="table" w:customStyle="1" w:styleId="Table">
    <w:name w:val="Table"/>
    <w:semiHidden/>
    <w:unhideWhenUsed/>
    <w:qFormat/>
    <w:rsid w:val="00AE267D"/>
    <w:pPr>
      <w:spacing w:after="200" w:line="240" w:lineRule="auto"/>
    </w:pPr>
    <w:rPr>
      <w:kern w:val="0"/>
      <w:sz w:val="20"/>
      <w:szCs w:val="2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AE267D"/>
    <w:rPr>
      <w:color w:val="156082" w:themeColor="accent1"/>
    </w:rPr>
  </w:style>
  <w:style w:type="character" w:styleId="UnresolvedMention">
    <w:name w:val="Unresolved Mention"/>
    <w:basedOn w:val="DefaultParagraphFont"/>
    <w:uiPriority w:val="99"/>
    <w:semiHidden/>
    <w:unhideWhenUsed/>
    <w:rsid w:val="004903FD"/>
    <w:rPr>
      <w:color w:val="605E5C"/>
      <w:shd w:val="clear" w:color="auto" w:fill="E1DFDD"/>
    </w:rPr>
  </w:style>
  <w:style w:type="character" w:styleId="FollowedHyperlink">
    <w:name w:val="FollowedHyperlink"/>
    <w:basedOn w:val="DefaultParagraphFont"/>
    <w:uiPriority w:val="99"/>
    <w:semiHidden/>
    <w:unhideWhenUsed/>
    <w:rsid w:val="004903FD"/>
    <w:rPr>
      <w:color w:val="96607D" w:themeColor="followedHyperlink"/>
      <w:u w:val="single"/>
    </w:rPr>
  </w:style>
  <w:style w:type="paragraph" w:customStyle="1" w:styleId="code-line">
    <w:name w:val="code-line"/>
    <w:basedOn w:val="Normal"/>
    <w:rsid w:val="00A94C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4C8F"/>
    <w:rPr>
      <w:b/>
      <w:bCs/>
    </w:rPr>
  </w:style>
  <w:style w:type="character" w:styleId="Emphasis">
    <w:name w:val="Emphasis"/>
    <w:basedOn w:val="DefaultParagraphFont"/>
    <w:uiPriority w:val="20"/>
    <w:qFormat/>
    <w:rsid w:val="00A94C8F"/>
    <w:rPr>
      <w:i/>
      <w:iCs/>
    </w:rPr>
  </w:style>
  <w:style w:type="character" w:styleId="BookTitle">
    <w:name w:val="Book Title"/>
    <w:basedOn w:val="DefaultParagraphFont"/>
    <w:uiPriority w:val="33"/>
    <w:qFormat/>
    <w:rsid w:val="009D3E26"/>
    <w:rPr>
      <w:b/>
      <w:bCs/>
      <w:i/>
      <w:iCs/>
      <w:spacing w:val="5"/>
    </w:rPr>
  </w:style>
  <w:style w:type="paragraph" w:styleId="Caption">
    <w:name w:val="caption"/>
    <w:basedOn w:val="Normal"/>
    <w:next w:val="Normal"/>
    <w:uiPriority w:val="35"/>
    <w:semiHidden/>
    <w:unhideWhenUsed/>
    <w:qFormat/>
    <w:rsid w:val="009D3E26"/>
    <w:pPr>
      <w:spacing w:after="200" w:line="240" w:lineRule="auto"/>
    </w:pPr>
    <w:rPr>
      <w:i/>
      <w:iCs/>
      <w:color w:val="0E2841" w:themeColor="text2"/>
      <w:sz w:val="18"/>
      <w:szCs w:val="18"/>
    </w:rPr>
  </w:style>
  <w:style w:type="paragraph" w:styleId="NoSpacing">
    <w:name w:val="No Spacing"/>
    <w:uiPriority w:val="1"/>
    <w:qFormat/>
    <w:rsid w:val="009D3E26"/>
    <w:pPr>
      <w:spacing w:after="0" w:line="240" w:lineRule="auto"/>
    </w:pPr>
  </w:style>
  <w:style w:type="character" w:styleId="SubtleEmphasis">
    <w:name w:val="Subtle Emphasis"/>
    <w:basedOn w:val="DefaultParagraphFont"/>
    <w:uiPriority w:val="19"/>
    <w:qFormat/>
    <w:rsid w:val="009D3E26"/>
    <w:rPr>
      <w:i/>
      <w:iCs/>
      <w:color w:val="404040" w:themeColor="text1" w:themeTint="BF"/>
    </w:rPr>
  </w:style>
  <w:style w:type="character" w:styleId="SubtleReference">
    <w:name w:val="Subtle Reference"/>
    <w:basedOn w:val="DefaultParagraphFont"/>
    <w:uiPriority w:val="31"/>
    <w:qFormat/>
    <w:rsid w:val="009D3E26"/>
    <w:rPr>
      <w:smallCaps/>
      <w:color w:val="5A5A5A" w:themeColor="text1" w:themeTint="A5"/>
    </w:rPr>
  </w:style>
  <w:style w:type="paragraph" w:styleId="TOCHeading">
    <w:name w:val="TOC Heading"/>
    <w:basedOn w:val="Heading1"/>
    <w:next w:val="Normal"/>
    <w:uiPriority w:val="39"/>
    <w:semiHidden/>
    <w:unhideWhenUsed/>
    <w:qFormat/>
    <w:rsid w:val="009D3E2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bible.org" TargetMode="External"/><Relationship Id="rId13" Type="http://schemas.openxmlformats.org/officeDocument/2006/relationships/hyperlink" Target="https://michaelfbird.substack.com/p/1-tim-212-and-authentein"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womendeacons.org/didascalia-apostolorum/" TargetMode="External"/><Relationship Id="rId17" Type="http://schemas.openxmlformats.org/officeDocument/2006/relationships/hyperlink" Target="https://github.com/UsefulEngines/EvangelismPublic/blob/fce07e790d6e2a9428de731be9c85e615b2ca800/2026-Q1/Resources/TheGreatFemIntro.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watch?v=PFwvdeUjt5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advent.org/fathers/0321.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asvbible.org/2025/04/24/feminism-and-the-bible-an-analysis-of-feminist-theologys-reinterpretation-of-christian-doctrine-and-authority/" TargetMode="External"/><Relationship Id="rId23" Type="http://schemas.openxmlformats.org/officeDocument/2006/relationships/footer" Target="footer3.xml"/><Relationship Id="rId10" Type="http://schemas.openxmlformats.org/officeDocument/2006/relationships/hyperlink" Target="https://www.newadvent.org/fathers/0403.ht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blueletterbible.org/tools/interlinear/mgnt/1ti/2/12/" TargetMode="External"/><Relationship Id="rId14" Type="http://schemas.openxmlformats.org/officeDocument/2006/relationships/hyperlink" Target="https://johnmarkhicks.com/2021/03/15/fourteen-questions-about-and-eleven-interpretations-of-1-timothy-212/"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BA02B-DFC3-244E-9058-FA8DFE1E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5425</Words>
  <Characters>29786</Characters>
  <Application>Microsoft Office Word</Application>
  <DocSecurity>0</DocSecurity>
  <Lines>572</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9</cp:revision>
  <cp:lastPrinted>2026-04-26T12:42:00Z</cp:lastPrinted>
  <dcterms:created xsi:type="dcterms:W3CDTF">2026-08-19T16:58:00Z</dcterms:created>
  <dcterms:modified xsi:type="dcterms:W3CDTF">2026-10-22T10:03:00Z</dcterms:modified>
</cp:coreProperties>
</file>