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6737C85F" w:rsidR="00AB2CC5" w:rsidRPr="00596A8F" w:rsidRDefault="00AB2CC5" w:rsidP="00596A8F">
      <w:pPr>
        <w:jc w:val="center"/>
      </w:pPr>
      <w:r>
        <w:t>https://tinyurl.com/</w:t>
      </w:r>
      <w:r w:rsidR="00A94C8F">
        <w:t>TeachTheWord</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161BC9" w:rsidP="00A94C8F">
      <w:pPr>
        <w:rPr>
          <w:rFonts w:ascii="Segoe UI" w:hAnsi="Segoe UI" w:cs="Segoe UI"/>
          <w:sz w:val="21"/>
          <w:szCs w:val="21"/>
        </w:rPr>
      </w:pPr>
      <w:r>
        <w:pict w14:anchorId="5D320108">
          <v:rect id="Rectangle 51" o:spid="_x0000_s2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161BC9" w:rsidP="00A94C8F">
      <w:pPr>
        <w:rPr>
          <w:rFonts w:ascii="Segoe UI" w:hAnsi="Segoe UI" w:cs="Segoe UI"/>
          <w:sz w:val="21"/>
          <w:szCs w:val="21"/>
        </w:rPr>
      </w:pPr>
      <w:r>
        <w:pict w14:anchorId="2598B186">
          <v:rect id="Rectangle 49" o:spid="_x0000_s2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Anyone writing on this passage must choose between two positions, and much confusion comes from writers who never make the choice explicit.</w:t>
      </w:r>
    </w:p>
    <w:p w14:paraId="714E2A57" w14:textId="7A928692"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 This position has held as normative church practice for two millennia.</w:t>
      </w:r>
      <w:r w:rsidR="009D3E26">
        <w:rPr>
          <w:rFonts w:ascii="Segoe UI" w:hAnsi="Segoe UI" w:cs="Segoe UI"/>
          <w:color w:val="352F3D"/>
          <w:sz w:val="21"/>
          <w:szCs w:val="21"/>
        </w:rPr>
        <w:t xml:space="preserve">  </w:t>
      </w:r>
    </w:p>
    <w:p w14:paraId="5EBB3939" w14:textId="493D8CFC"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Scripture restricts one function: the authoritative doctrinal teaching that governs the gathered church, along with the elder or overseer office attached to it. Other forms of participation (praying, prophesying, singing, confessing, teaching women and children, private instruction, diaconal service) are not restricted.</w:t>
      </w:r>
    </w:p>
    <w:p w14:paraId="4F8F3605" w14:textId="7587690D" w:rsidR="00A94C8F" w:rsidRPr="001B4436"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r w:rsidR="001B4436">
        <w:rPr>
          <w:rStyle w:val="Strong"/>
          <w:rFonts w:ascii="Segoe UI" w:hAnsi="Segoe UI" w:cs="Segoe UI"/>
          <w:b w:val="0"/>
          <w:bCs w:val="0"/>
          <w:color w:val="352F3D"/>
          <w:sz w:val="21"/>
          <w:szCs w:val="21"/>
        </w:rPr>
        <w:t xml:space="preserve">  Regardless, </w:t>
      </w:r>
      <w:r w:rsidR="006B6BAF">
        <w:rPr>
          <w:rStyle w:val="Strong"/>
          <w:rFonts w:ascii="Segoe UI" w:hAnsi="Segoe UI" w:cs="Segoe UI"/>
          <w:b w:val="0"/>
          <w:bCs w:val="0"/>
          <w:color w:val="352F3D"/>
          <w:sz w:val="21"/>
          <w:szCs w:val="21"/>
        </w:rPr>
        <w:t xml:space="preserve">it seems appropriate that anyone arguing against the normative precedent established by apostolic-era Christian communities should face a high-bar of </w:t>
      </w:r>
      <w:r w:rsidR="00677D33">
        <w:rPr>
          <w:rStyle w:val="Strong"/>
          <w:rFonts w:ascii="Segoe UI" w:hAnsi="Segoe UI" w:cs="Segoe UI"/>
          <w:b w:val="0"/>
          <w:bCs w:val="0"/>
          <w:color w:val="352F3D"/>
          <w:sz w:val="21"/>
          <w:szCs w:val="21"/>
        </w:rPr>
        <w:t>critical analysis.  Such criticism is not within the scope of this document.</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77B163A6"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Third, Acts 18:26.</w:t>
      </w:r>
      <w:r>
        <w:rPr>
          <w:rFonts w:ascii="Segoe UI" w:hAnsi="Segoe UI" w:cs="Segoe UI"/>
          <w:color w:val="352F3D"/>
          <w:sz w:val="21"/>
          <w:szCs w:val="21"/>
        </w:rPr>
        <w:t xml:space="preserve"> Priscilla and Aquila took Apollos aside and explained the way of God more accurately. Luke reports this without censure. The broad position must explain it away. The narrow position permits </w:t>
      </w:r>
      <w:r w:rsidR="00677D33">
        <w:rPr>
          <w:rFonts w:ascii="Segoe UI" w:hAnsi="Segoe UI" w:cs="Segoe UI"/>
          <w:color w:val="352F3D"/>
          <w:sz w:val="21"/>
          <w:szCs w:val="21"/>
        </w:rPr>
        <w:t>it</w:t>
      </w:r>
      <w:r>
        <w:rPr>
          <w:rFonts w:ascii="Segoe UI" w:hAnsi="Segoe UI" w:cs="Segoe UI"/>
          <w:color w:val="352F3D"/>
          <w:sz w:val="21"/>
          <w:szCs w:val="21"/>
        </w:rPr>
        <w:t xml:space="preserve"> directly</w:t>
      </w:r>
      <w:r w:rsidR="009D3E26">
        <w:rPr>
          <w:rFonts w:ascii="Segoe UI" w:hAnsi="Segoe UI" w:cs="Segoe UI"/>
          <w:color w:val="352F3D"/>
          <w:sz w:val="21"/>
          <w:szCs w:val="21"/>
        </w:rPr>
        <w:t>.</w:t>
      </w:r>
      <w:r w:rsidR="00F469B8">
        <w:rPr>
          <w:rFonts w:ascii="Segoe UI" w:hAnsi="Segoe UI" w:cs="Segoe UI"/>
          <w:color w:val="352F3D"/>
          <w:sz w:val="21"/>
          <w:szCs w:val="21"/>
        </w:rPr>
        <w:t xml:space="preserve">  Note also the differences in teaching venue, private versus assembly.</w:t>
      </w:r>
    </w:p>
    <w:p w14:paraId="3E17819D" w14:textId="4809DFA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w:t>
      </w:r>
      <w:r w:rsidR="00F469B8">
        <w:rPr>
          <w:rFonts w:ascii="Segoe UI" w:hAnsi="Segoe UI" w:cs="Segoe UI"/>
          <w:color w:val="352F3D"/>
          <w:sz w:val="21"/>
          <w:szCs w:val="21"/>
        </w:rPr>
        <w:t xml:space="preserve"> or authoritative </w:t>
      </w:r>
      <w:r>
        <w:rPr>
          <w:rFonts w:ascii="Segoe UI" w:hAnsi="Segoe UI" w:cs="Segoe UI"/>
          <w:color w:val="352F3D"/>
          <w:sz w:val="21"/>
          <w:szCs w:val="21"/>
        </w:rPr>
        <w:t>teaching function, not speech in general.</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5D0C17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xml:space="preserve"> The New Testament contains no explicit prohibition on a woman baptizing. The early church did prohibit it </w:t>
      </w:r>
      <w:r w:rsidR="00852949">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xml:space="preserve"> (c. 230–250) calls it "a transgression of the commandment." That is weighty testimony about apostolic practice. It is not </w:t>
      </w:r>
      <w:r w:rsidR="00F469B8">
        <w:rPr>
          <w:rFonts w:ascii="Segoe UI" w:hAnsi="Segoe UI" w:cs="Segoe UI"/>
          <w:color w:val="352F3D"/>
          <w:sz w:val="21"/>
          <w:szCs w:val="21"/>
        </w:rPr>
        <w:t xml:space="preserve">and explicit </w:t>
      </w:r>
      <w:r>
        <w:rPr>
          <w:rFonts w:ascii="Segoe UI" w:hAnsi="Segoe UI" w:cs="Segoe UI"/>
          <w:color w:val="352F3D"/>
          <w:sz w:val="21"/>
          <w:szCs w:val="21"/>
        </w:rPr>
        <w:t xml:space="preserve">apostolic </w:t>
      </w:r>
      <w:r w:rsidR="00F469B8">
        <w:rPr>
          <w:rFonts w:ascii="Segoe UI" w:hAnsi="Segoe UI" w:cs="Segoe UI"/>
          <w:color w:val="352F3D"/>
          <w:sz w:val="21"/>
          <w:szCs w:val="21"/>
        </w:rPr>
        <w:t>command</w:t>
      </w:r>
      <w:r>
        <w:rPr>
          <w:rFonts w:ascii="Segoe UI" w:hAnsi="Segoe UI" w:cs="Segoe UI"/>
          <w:color w:val="352F3D"/>
          <w:sz w:val="21"/>
          <w:szCs w:val="21"/>
        </w:rPr>
        <w:t>, and this study will not present it as one.</w:t>
      </w:r>
    </w:p>
    <w:p w14:paraId="463917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64CE9D8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r w:rsidR="00D9415D">
        <w:rPr>
          <w:rFonts w:ascii="Segoe UI" w:hAnsi="Segoe UI" w:cs="Segoe UI"/>
          <w:color w:val="352F3D"/>
          <w:sz w:val="21"/>
          <w:szCs w:val="21"/>
        </w:rPr>
        <w:t xml:space="preserve">  </w:t>
      </w:r>
      <w:r w:rsidR="00F469B8">
        <w:rPr>
          <w:rFonts w:ascii="Segoe UI" w:hAnsi="Segoe UI" w:cs="Segoe UI"/>
          <w:color w:val="352F3D"/>
          <w:sz w:val="21"/>
          <w:szCs w:val="21"/>
        </w:rPr>
        <w:t>Women did prophecy, pray, and speak in tongues during assembly (though Paul restricted each form).</w:t>
      </w:r>
    </w:p>
    <w:p w14:paraId="5AE409C3" w14:textId="432BF26A"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r w:rsidR="001B4436">
        <w:rPr>
          <w:rFonts w:ascii="Segoe UI" w:hAnsi="Segoe UI" w:cs="Segoe UI"/>
          <w:color w:val="352F3D"/>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5"/>
        <w:gridCol w:w="3940"/>
        <w:gridCol w:w="1655"/>
      </w:tblGrid>
      <w:tr w:rsidR="00A94C8F" w14:paraId="18FE4CFD" w14:textId="77777777" w:rsidTr="00D9415D">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rsidTr="00D9415D">
        <w:tc>
          <w:tcPr>
            <w:tcW w:w="0" w:type="auto"/>
            <w:tcMar>
              <w:top w:w="75" w:type="dxa"/>
              <w:left w:w="150" w:type="dxa"/>
              <w:bottom w:w="75" w:type="dxa"/>
              <w:right w:w="150" w:type="dxa"/>
            </w:tcMar>
            <w:vAlign w:val="center"/>
            <w:hideMark/>
          </w:tcPr>
          <w:p w14:paraId="6EDC3FFA" w14:textId="7A8EAA78"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w:t>
            </w:r>
            <w:r w:rsidR="00677D33">
              <w:rPr>
                <w:rFonts w:ascii="Segoe UI" w:hAnsi="Segoe UI" w:cs="Segoe UI"/>
                <w:color w:val="352F3D"/>
                <w:sz w:val="21"/>
                <w:szCs w:val="21"/>
              </w:rPr>
              <w:t xml:space="preserve"> &amp; deacon </w:t>
            </w:r>
            <w:r>
              <w:rPr>
                <w:rFonts w:ascii="Segoe UI" w:hAnsi="Segoe UI" w:cs="Segoe UI"/>
                <w:color w:val="352F3D"/>
                <w:sz w:val="21"/>
                <w:szCs w:val="21"/>
              </w:rPr>
              <w:t>office restricted to men</w:t>
            </w:r>
          </w:p>
        </w:tc>
        <w:tc>
          <w:tcPr>
            <w:tcW w:w="0" w:type="auto"/>
            <w:tcMar>
              <w:top w:w="75" w:type="dxa"/>
              <w:left w:w="150" w:type="dxa"/>
              <w:bottom w:w="75" w:type="dxa"/>
              <w:right w:w="150" w:type="dxa"/>
            </w:tcMar>
            <w:vAlign w:val="center"/>
            <w:hideMark/>
          </w:tcPr>
          <w:p w14:paraId="128F5142" w14:textId="6E7CA6B0" w:rsidR="00A94C8F" w:rsidRDefault="00A94C8F">
            <w:pPr>
              <w:spacing w:after="168"/>
              <w:rPr>
                <w:rFonts w:ascii="Segoe UI" w:hAnsi="Segoe UI" w:cs="Segoe UI"/>
                <w:color w:val="352F3D"/>
                <w:sz w:val="21"/>
                <w:szCs w:val="21"/>
              </w:rPr>
            </w:pPr>
            <w:r>
              <w:rPr>
                <w:rFonts w:ascii="Segoe UI" w:hAnsi="Segoe UI" w:cs="Segoe UI"/>
                <w:color w:val="352F3D"/>
                <w:sz w:val="21"/>
                <w:szCs w:val="21"/>
              </w:rPr>
              <w:t xml:space="preserve">1 Tim 3:2; </w:t>
            </w:r>
            <w:r w:rsidR="00677D33">
              <w:rPr>
                <w:rFonts w:ascii="Segoe UI" w:hAnsi="Segoe UI" w:cs="Segoe UI"/>
                <w:color w:val="352F3D"/>
                <w:sz w:val="21"/>
                <w:szCs w:val="21"/>
              </w:rPr>
              <w:t>1 Tim 3:11</w:t>
            </w:r>
            <w:r w:rsidR="00D9415D">
              <w:rPr>
                <w:rFonts w:ascii="Segoe UI" w:hAnsi="Segoe UI" w:cs="Segoe UI"/>
                <w:color w:val="352F3D"/>
                <w:sz w:val="21"/>
                <w:szCs w:val="21"/>
              </w:rPr>
              <w:t>;</w:t>
            </w:r>
            <w:r w:rsidR="00677D33">
              <w:rPr>
                <w:rFonts w:ascii="Segoe UI" w:hAnsi="Segoe UI" w:cs="Segoe UI"/>
                <w:color w:val="352F3D"/>
                <w:sz w:val="21"/>
                <w:szCs w:val="21"/>
              </w:rPr>
              <w:t xml:space="preserve"> </w:t>
            </w:r>
            <w:r>
              <w:rPr>
                <w:rFonts w:ascii="Segoe UI" w:hAnsi="Segoe UI" w:cs="Segoe UI"/>
                <w:color w:val="352F3D"/>
                <w:sz w:val="21"/>
                <w:szCs w:val="21"/>
              </w:rPr>
              <w:t>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rsidTr="00D9415D">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rsidTr="00D9415D">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rsidTr="00D9415D">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rsidTr="00D9415D">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rsidTr="00D9415D">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01CB804" w:rsidR="00D9415D"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r w:rsidR="00D9415D" w14:paraId="118D5E1A" w14:textId="77777777" w:rsidTr="00D9415D">
        <w:tc>
          <w:tcPr>
            <w:tcW w:w="0" w:type="auto"/>
            <w:tcMar>
              <w:top w:w="75" w:type="dxa"/>
              <w:left w:w="150" w:type="dxa"/>
              <w:bottom w:w="75" w:type="dxa"/>
              <w:right w:w="150" w:type="dxa"/>
            </w:tcMar>
            <w:vAlign w:val="center"/>
          </w:tcPr>
          <w:p w14:paraId="4C937F38" w14:textId="3D07C05D"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Women </w:t>
            </w:r>
            <w:r w:rsidR="00314084">
              <w:rPr>
                <w:rFonts w:ascii="Segoe UI" w:hAnsi="Segoe UI" w:cs="Segoe UI"/>
                <w:color w:val="352F3D"/>
                <w:sz w:val="21"/>
                <w:szCs w:val="21"/>
              </w:rPr>
              <w:t>have quiet demeanor</w:t>
            </w:r>
            <w:r>
              <w:rPr>
                <w:rFonts w:ascii="Segoe UI" w:hAnsi="Segoe UI" w:cs="Segoe UI"/>
                <w:color w:val="352F3D"/>
                <w:sz w:val="21"/>
                <w:szCs w:val="21"/>
              </w:rPr>
              <w:t xml:space="preserve"> in church assembly</w:t>
            </w:r>
          </w:p>
        </w:tc>
        <w:tc>
          <w:tcPr>
            <w:tcW w:w="0" w:type="auto"/>
            <w:tcMar>
              <w:top w:w="75" w:type="dxa"/>
              <w:left w:w="150" w:type="dxa"/>
              <w:bottom w:w="75" w:type="dxa"/>
              <w:right w:w="150" w:type="dxa"/>
            </w:tcMar>
            <w:vAlign w:val="center"/>
          </w:tcPr>
          <w:p w14:paraId="5184575E" w14:textId="231EB233"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1 Cor 11; </w:t>
            </w:r>
            <w:r w:rsidR="00B24CEB">
              <w:rPr>
                <w:rFonts w:ascii="Segoe UI" w:hAnsi="Segoe UI" w:cs="Segoe UI"/>
                <w:color w:val="352F3D"/>
                <w:sz w:val="21"/>
                <w:szCs w:val="21"/>
              </w:rPr>
              <w:t xml:space="preserve">1 Cor 14:34; </w:t>
            </w:r>
            <w:r>
              <w:rPr>
                <w:rFonts w:ascii="Segoe UI" w:hAnsi="Segoe UI" w:cs="Segoe UI"/>
                <w:color w:val="352F3D"/>
                <w:sz w:val="21"/>
                <w:szCs w:val="21"/>
              </w:rPr>
              <w:t>1 Tim 2</w:t>
            </w:r>
            <w:r w:rsidR="00B24CEB">
              <w:rPr>
                <w:rFonts w:ascii="Segoe UI" w:hAnsi="Segoe UI" w:cs="Segoe UI"/>
                <w:color w:val="352F3D"/>
                <w:sz w:val="21"/>
                <w:szCs w:val="21"/>
              </w:rPr>
              <w:t xml:space="preserve">:11-12; </w:t>
            </w:r>
            <w:r>
              <w:rPr>
                <w:rFonts w:ascii="Segoe UI" w:hAnsi="Segoe UI" w:cs="Segoe UI"/>
                <w:color w:val="352F3D"/>
                <w:sz w:val="21"/>
                <w:szCs w:val="21"/>
              </w:rPr>
              <w:t>Apostolic directive</w:t>
            </w:r>
          </w:p>
        </w:tc>
        <w:tc>
          <w:tcPr>
            <w:tcW w:w="0" w:type="auto"/>
            <w:tcMar>
              <w:top w:w="75" w:type="dxa"/>
              <w:left w:w="150" w:type="dxa"/>
              <w:bottom w:w="75" w:type="dxa"/>
              <w:right w:w="150" w:type="dxa"/>
            </w:tcMar>
            <w:vAlign w:val="center"/>
          </w:tcPr>
          <w:p w14:paraId="5D188AB0" w14:textId="4F217E5F" w:rsidR="00D9415D" w:rsidRDefault="001D1438">
            <w:pPr>
              <w:spacing w:after="168"/>
              <w:rPr>
                <w:rFonts w:ascii="Segoe UI" w:hAnsi="Segoe UI" w:cs="Segoe UI"/>
                <w:color w:val="352F3D"/>
                <w:sz w:val="21"/>
                <w:szCs w:val="21"/>
              </w:rPr>
            </w:pPr>
            <w:r>
              <w:rPr>
                <w:rFonts w:ascii="Segoe UI" w:hAnsi="Segoe UI" w:cs="Segoe UI"/>
                <w:color w:val="352F3D"/>
                <w:sz w:val="21"/>
                <w:szCs w:val="21"/>
              </w:rPr>
              <w:t>Strong</w:t>
            </w:r>
          </w:p>
        </w:tc>
      </w:tr>
    </w:tbl>
    <w:p w14:paraId="72C1ACE1" w14:textId="77777777" w:rsidR="00A94C8F" w:rsidRDefault="00161BC9" w:rsidP="00A94C8F">
      <w:pPr>
        <w:spacing w:after="0"/>
        <w:rPr>
          <w:rFonts w:ascii="Segoe UI" w:hAnsi="Segoe UI" w:cs="Segoe UI"/>
          <w:sz w:val="21"/>
          <w:szCs w:val="21"/>
        </w:rPr>
      </w:pPr>
      <w:r>
        <w:pict w14:anchorId="6EBB1C9A">
          <v:rect id="Rectangle 47" o:spid="_x0000_s2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2C46D63C" w14:textId="39602A0D"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does this and related Scripture</w:t>
      </w:r>
      <w:r w:rsidR="00963B56">
        <w:rPr>
          <w:rFonts w:ascii="Segoe UI" w:hAnsi="Segoe UI" w:cs="Segoe UI"/>
          <w:color w:val="352F3D"/>
          <w:sz w:val="21"/>
          <w:szCs w:val="21"/>
        </w:rPr>
        <w:t xml:space="preserve"> (e.g. 1 Corinthians, Ephesians)</w:t>
      </w:r>
      <w:r>
        <w:rPr>
          <w:rFonts w:ascii="Segoe UI" w:hAnsi="Segoe UI" w:cs="Segoe UI"/>
          <w:color w:val="352F3D"/>
          <w:sz w:val="21"/>
          <w:szCs w:val="21"/>
        </w:rPr>
        <w:t xml:space="preserve"> indicate about the roles of men and women in the church?</w:t>
      </w:r>
      <w:r w:rsidR="00F469B8">
        <w:rPr>
          <w:rFonts w:ascii="Segoe UI" w:hAnsi="Segoe UI" w:cs="Segoe UI"/>
          <w:color w:val="352F3D"/>
          <w:sz w:val="21"/>
          <w:szCs w:val="21"/>
        </w:rPr>
        <w:t xml:space="preserve">  </w:t>
      </w:r>
    </w:p>
    <w:p w14:paraId="03D1B60A" w14:textId="537736D1" w:rsidR="00F469B8" w:rsidRDefault="00F469B8"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Given that Paul refers to God’s created order (</w:t>
      </w:r>
      <w:r w:rsidR="004E4699">
        <w:rPr>
          <w:rFonts w:ascii="Segoe UI" w:hAnsi="Segoe UI" w:cs="Segoe UI"/>
          <w:color w:val="352F3D"/>
          <w:sz w:val="21"/>
          <w:szCs w:val="21"/>
        </w:rPr>
        <w:t xml:space="preserve">Genesis 2 </w:t>
      </w:r>
      <w:r w:rsidR="001D1438">
        <w:rPr>
          <w:rFonts w:ascii="Segoe UI" w:hAnsi="Segoe UI" w:cs="Segoe UI"/>
          <w:color w:val="352F3D"/>
          <w:sz w:val="21"/>
          <w:szCs w:val="21"/>
        </w:rPr>
        <w:t>–</w:t>
      </w:r>
      <w:r w:rsidR="004E4699">
        <w:rPr>
          <w:rFonts w:ascii="Segoe UI" w:hAnsi="Segoe UI" w:cs="Segoe UI"/>
          <w:color w:val="352F3D"/>
          <w:sz w:val="21"/>
          <w:szCs w:val="21"/>
        </w:rPr>
        <w:t xml:space="preserve"> </w:t>
      </w:r>
      <w:r>
        <w:rPr>
          <w:rFonts w:ascii="Segoe UI" w:hAnsi="Segoe UI" w:cs="Segoe UI"/>
          <w:color w:val="352F3D"/>
          <w:sz w:val="21"/>
          <w:szCs w:val="21"/>
        </w:rPr>
        <w:t>male</w:t>
      </w:r>
      <w:r w:rsidR="001D1438">
        <w:rPr>
          <w:rFonts w:ascii="Segoe UI" w:hAnsi="Segoe UI" w:cs="Segoe UI"/>
          <w:color w:val="352F3D"/>
          <w:sz w:val="21"/>
          <w:szCs w:val="21"/>
        </w:rPr>
        <w:t xml:space="preserve"> and </w:t>
      </w:r>
      <w:r>
        <w:rPr>
          <w:rFonts w:ascii="Segoe UI" w:hAnsi="Segoe UI" w:cs="Segoe UI"/>
          <w:color w:val="352F3D"/>
          <w:sz w:val="21"/>
          <w:szCs w:val="21"/>
        </w:rPr>
        <w:t>female</w:t>
      </w:r>
      <w:r w:rsidR="001D1438">
        <w:rPr>
          <w:rFonts w:ascii="Segoe UI" w:hAnsi="Segoe UI" w:cs="Segoe UI"/>
          <w:color w:val="352F3D"/>
          <w:sz w:val="21"/>
          <w:szCs w:val="21"/>
        </w:rPr>
        <w:t xml:space="preserve"> roles</w:t>
      </w:r>
      <w:r>
        <w:rPr>
          <w:rFonts w:ascii="Segoe UI" w:hAnsi="Segoe UI" w:cs="Segoe UI"/>
          <w:color w:val="352F3D"/>
          <w:sz w:val="21"/>
          <w:szCs w:val="21"/>
        </w:rPr>
        <w:t>) and even before the Fall</w:t>
      </w:r>
      <w:r w:rsidR="004E4699">
        <w:rPr>
          <w:rFonts w:ascii="Segoe UI" w:hAnsi="Segoe UI" w:cs="Segoe UI"/>
          <w:color w:val="352F3D"/>
          <w:sz w:val="21"/>
          <w:szCs w:val="21"/>
        </w:rPr>
        <w:t xml:space="preserve"> (Genesis 3), how does God’s original design indicate his purpose for gender roles? </w:t>
      </w:r>
    </w:p>
    <w:p w14:paraId="349589A6" w14:textId="77777777" w:rsidR="00A94C8F" w:rsidRDefault="00161BC9" w:rsidP="00A94C8F">
      <w:pPr>
        <w:rPr>
          <w:rFonts w:ascii="Segoe UI" w:hAnsi="Segoe UI" w:cs="Segoe UI"/>
          <w:sz w:val="21"/>
          <w:szCs w:val="21"/>
        </w:rPr>
      </w:pPr>
      <w:r>
        <w:pict w14:anchorId="499BC15E">
          <v:rect id="Rectangle 45" o:spid="_x0000_s2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1231EFA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3022CD15"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xml:space="preserve"> Let a woman learn, with a quiet demeanor and full receptiveness to the teaching. But I am not </w:t>
      </w:r>
      <w:r w:rsidRPr="004E4699">
        <w:rPr>
          <w:rFonts w:ascii="Segoe UI" w:hAnsi="Segoe UI" w:cs="Segoe UI"/>
          <w:i/>
          <w:iCs/>
          <w:color w:val="352F3D"/>
          <w:sz w:val="21"/>
          <w:szCs w:val="21"/>
        </w:rPr>
        <w:t>currently</w:t>
      </w:r>
      <w:r>
        <w:rPr>
          <w:rFonts w:ascii="Segoe UI" w:hAnsi="Segoe UI" w:cs="Segoe UI"/>
          <w:color w:val="352F3D"/>
          <w:sz w:val="21"/>
          <w:szCs w:val="21"/>
        </w:rPr>
        <w:t xml:space="preserve"> permitting a woman to teach in a</w:t>
      </w:r>
      <w:r w:rsidR="004E4699">
        <w:rPr>
          <w:rFonts w:ascii="Segoe UI" w:hAnsi="Segoe UI" w:cs="Segoe UI"/>
          <w:color w:val="352F3D"/>
          <w:sz w:val="21"/>
          <w:szCs w:val="21"/>
        </w:rPr>
        <w:t xml:space="preserve"> domineering</w:t>
      </w:r>
      <w:r>
        <w:rPr>
          <w:rFonts w:ascii="Segoe UI" w:hAnsi="Segoe UI" w:cs="Segoe UI"/>
          <w:color w:val="352F3D"/>
          <w:sz w:val="21"/>
          <w:szCs w:val="21"/>
        </w:rPr>
        <w:t xml:space="preserve">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161BC9" w:rsidP="00A94C8F">
      <w:pPr>
        <w:rPr>
          <w:rFonts w:ascii="Segoe UI" w:hAnsi="Segoe UI" w:cs="Segoe UI"/>
          <w:sz w:val="21"/>
          <w:szCs w:val="21"/>
        </w:rPr>
      </w:pPr>
      <w:r>
        <w:pict w14:anchorId="7BFBFC0C">
          <v:rect id="Rectangle 43" o:spid="_x0000_s2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lastRenderedPageBreak/>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0F051F13"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respectable presentation. Not merely covering skin, but presentation that does not pull focus to status, sexuality, or wealth.</w:t>
      </w:r>
    </w:p>
    <w:p w14:paraId="0A5450DE" w14:textId="712CBC85"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a sense of propriety, moral awareness of what fits.</w:t>
      </w:r>
    </w:p>
    <w:p w14:paraId="5FAF0CEC" w14:textId="0111A996"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289F52C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 1 Timothy specifically, "good works" recurs as a public marker of genuine faith (5:10; 6:18). </w:t>
      </w:r>
      <w:r w:rsidR="00B24CEB">
        <w:rPr>
          <w:rFonts w:ascii="Segoe UI" w:hAnsi="Segoe UI" w:cs="Segoe UI"/>
          <w:color w:val="352F3D"/>
          <w:sz w:val="21"/>
          <w:szCs w:val="21"/>
        </w:rPr>
        <w:t>So,</w:t>
      </w:r>
      <w:r>
        <w:rPr>
          <w:rFonts w:ascii="Segoe UI" w:hAnsi="Segoe UI" w:cs="Segoe UI"/>
          <w:color w:val="352F3D"/>
          <w:sz w:val="21"/>
          <w:szCs w:val="21"/>
        </w:rPr>
        <w:t xml:space="preserve">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046159BC"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lastRenderedPageBreak/>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occurs once in the New Testament. In broader 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0EAA8A8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A — the Messiah's birth.</w:t>
      </w:r>
      <w:r>
        <w:rPr>
          <w:rFonts w:ascii="Segoe UI" w:hAnsi="Segoe UI" w:cs="Segoe UI"/>
          <w:color w:val="352F3D"/>
          <w:sz w:val="21"/>
          <w:szCs w:val="21"/>
        </w:rPr>
        <w:t> "She will be saved through </w:t>
      </w:r>
      <w:r>
        <w:rPr>
          <w:rStyle w:val="Emphasis"/>
          <w:rFonts w:ascii="Segoe UI" w:hAnsi="Segoe UI" w:cs="Segoe UI"/>
          <w:color w:val="352F3D"/>
          <w:sz w:val="21"/>
          <w:szCs w:val="21"/>
        </w:rPr>
        <w:t>the</w:t>
      </w:r>
      <w:r>
        <w:rPr>
          <w:rFonts w:ascii="Segoe UI" w:hAnsi="Segoe UI" w:cs="Segoe UI"/>
          <w:color w:val="352F3D"/>
          <w:sz w:val="21"/>
          <w:szCs w:val="21"/>
        </w:rPr>
        <w:t> childbearing," pointing to the promised seed (Genesis 3:15). Fits biblical theology; the grammar is debated and "childbearing" is a general term.</w:t>
      </w:r>
    </w:p>
    <w:p w14:paraId="3F9019D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B — preservation through the dangers of childbirth.</w:t>
      </w:r>
      <w:r>
        <w:rPr>
          <w:rFonts w:ascii="Segoe UI" w:hAnsi="Segoe UI" w:cs="Segoe UI"/>
          <w:color w:val="352F3D"/>
          <w:sz w:val="21"/>
          <w:szCs w:val="21"/>
        </w:rPr>
        <w:t> Ancient childbirth was dangerous. Weakness: the condition "if they continue in faith" sounds moral and spiritual rather than medical.</w:t>
      </w:r>
    </w:p>
    <w:p w14:paraId="163CB9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C — salvation worked out in the embraced calling.</w:t>
      </w:r>
      <w:r>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 it re-centers on persevering godliness. Paul does not end with "women, stay down." He ends with "women, continue in mature holiness."</w:t>
      </w:r>
    </w:p>
    <w:p w14:paraId="59321AB1" w14:textId="77777777" w:rsidR="00A94C8F" w:rsidRDefault="00161BC9" w:rsidP="00A94C8F">
      <w:pPr>
        <w:rPr>
          <w:rFonts w:ascii="Segoe UI" w:hAnsi="Segoe UI" w:cs="Segoe UI"/>
          <w:sz w:val="21"/>
          <w:szCs w:val="21"/>
        </w:rPr>
      </w:pPr>
      <w:r>
        <w:pict w14:anchorId="624D1AB6">
          <v:rect id="Rectangle 41" o:spid="_x0000_s2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6A58188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xml:space="preserve"> teaching by women </w:t>
      </w:r>
      <w:r w:rsidR="00202124">
        <w:rPr>
          <w:rFonts w:ascii="Segoe UI" w:hAnsi="Segoe UI" w:cs="Segoe UI"/>
          <w:color w:val="352F3D"/>
          <w:sz w:val="21"/>
          <w:szCs w:val="21"/>
        </w:rPr>
        <w:t>-</w:t>
      </w:r>
      <w:r>
        <w:rPr>
          <w:rFonts w:ascii="Segoe UI" w:hAnsi="Segoe UI" w:cs="Segoe UI"/>
          <w:color w:val="352F3D"/>
          <w:sz w:val="21"/>
          <w:szCs w:val="21"/>
        </w:rPr>
        <w:t xml:space="preserve"> 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things, and they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3D092FD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xml:space="preserve"> itself spans neutral "to rule" and negative "to tyrannize," so the renderings do not settle the question </w:t>
      </w:r>
      <w:r w:rsidR="00202124">
        <w:rPr>
          <w:rFonts w:ascii="Segoe UI" w:hAnsi="Segoe UI" w:cs="Segoe UI"/>
          <w:color w:val="352F3D"/>
          <w:sz w:val="21"/>
          <w:szCs w:val="21"/>
        </w:rPr>
        <w:t xml:space="preserve">- </w:t>
      </w:r>
      <w:r>
        <w:rPr>
          <w:rFonts w:ascii="Segoe UI" w:hAnsi="Segoe UI" w:cs="Segoe UI"/>
          <w:color w:val="352F3D"/>
          <w:sz w:val="21"/>
          <w:szCs w:val="21"/>
        </w:rPr>
        <w:t>and in any case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 there was real disorder among some women in Ephesus (5:13–15). That context plausibly explains the letter's urgency and some adjacent applications. It does not supply Paul's stated reason in 2:13–14.</w:t>
      </w:r>
    </w:p>
    <w:p w14:paraId="6E6CB118" w14:textId="77777777" w:rsidR="00A94C8F" w:rsidRDefault="00161BC9" w:rsidP="00A94C8F">
      <w:pPr>
        <w:rPr>
          <w:rFonts w:ascii="Segoe UI" w:hAnsi="Segoe UI" w:cs="Segoe UI"/>
          <w:sz w:val="21"/>
          <w:szCs w:val="21"/>
        </w:rPr>
      </w:pPr>
      <w:r>
        <w:pict w14:anchorId="7DE6FD4E">
          <v:rect id="Rectangle 39" o:spid="_x0000_s2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6.3 Structure and Placement</w:t>
      </w:r>
    </w:p>
    <w:p w14:paraId="66FD7F5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351"/>
        <w:gridCol w:w="3036"/>
        <w:gridCol w:w="2213"/>
        <w:gridCol w:w="2760"/>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lastRenderedPageBreak/>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161BC9" w:rsidP="00A94C8F">
      <w:pPr>
        <w:rPr>
          <w:rFonts w:ascii="Segoe UI" w:hAnsi="Segoe UI" w:cs="Segoe UI"/>
          <w:sz w:val="21"/>
          <w:szCs w:val="21"/>
        </w:rPr>
      </w:pPr>
      <w:r>
        <w:pict w14:anchorId="605D7079">
          <v:rect id="Rectangle 37" o:spid="_x0000_s2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3E9C45F9"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w:t>
      </w:r>
      <w:r w:rsidR="00194213">
        <w:rPr>
          <w:rFonts w:ascii="Segoe UI" w:hAnsi="Segoe UI" w:cs="Segoe UI"/>
          <w:color w:val="352F3D"/>
          <w:sz w:val="21"/>
          <w:szCs w:val="21"/>
        </w:rPr>
        <w:t xml:space="preserve">(i.e. a servant) </w:t>
      </w:r>
      <w:r>
        <w:rPr>
          <w:rFonts w:ascii="Segoe UI" w:hAnsi="Segoe UI" w:cs="Segoe UI"/>
          <w:color w:val="352F3D"/>
          <w:sz w:val="21"/>
          <w:szCs w:val="21"/>
        </w:rPr>
        <w:t>of the church at Cenchrea (Romans 16:1)</w:t>
      </w:r>
      <w:r w:rsidR="00194213">
        <w:rPr>
          <w:rFonts w:ascii="Segoe UI" w:hAnsi="Segoe UI" w:cs="Segoe UI"/>
          <w:color w:val="352F3D"/>
          <w:sz w:val="21"/>
          <w:szCs w:val="21"/>
        </w:rPr>
        <w:t>, though Paul is most probably invoking “complementary praise” instead of recognition of church office.</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161BC9" w:rsidP="00A94C8F">
      <w:pPr>
        <w:rPr>
          <w:rFonts w:ascii="Segoe UI" w:hAnsi="Segoe UI" w:cs="Segoe UI"/>
          <w:sz w:val="21"/>
          <w:szCs w:val="21"/>
        </w:rPr>
      </w:pPr>
      <w:r>
        <w:pict w14:anchorId="0FE83671">
          <v:rect id="Rectangle 35" o:spid="_x0000_s2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6B4A5E5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delivered by appointment, handed down, received. Or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produced by gifting, sincerity, demonstrated results, or cultural progress.</w:t>
      </w:r>
    </w:p>
    <w:p w14:paraId="3B6DAF0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Every historic argument against the reading advanced here takes the second answer, though the vocabulary changes by era: direct revelation among the Montanists and later the Quakers; demonstrated fruit in nineteenth-century revivalism; reconstructed background or redemptive trajectory in modern scholarship.</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6897529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202124">
        <w:rPr>
          <w:rFonts w:ascii="Segoe UI" w:hAnsi="Segoe UI" w:cs="Segoe UI"/>
          <w:color w:val="352F3D"/>
          <w:sz w:val="21"/>
          <w:szCs w:val="21"/>
        </w:rPr>
        <w:t>-</w:t>
      </w:r>
      <w:r>
        <w:rPr>
          <w:rFonts w:ascii="Segoe UI" w:hAnsi="Segoe UI" w:cs="Segoe UI"/>
          <w:color w:val="352F3D"/>
          <w:sz w:val="21"/>
          <w:szCs w:val="21"/>
        </w:rPr>
        <w:t xml:space="preserve"> prophetic gifting and spiritual maturity </w:t>
      </w:r>
      <w:r w:rsidR="00202124">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14AB2263" w14:textId="77777777" w:rsidR="00314084"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Paul's own standing rests on appointment rather than attainment: </w:t>
      </w:r>
    </w:p>
    <w:p w14:paraId="66E3C3EB" w14:textId="2AEB01A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8.4 Why the Slavery Analogy Does Not Transfer</w:t>
      </w:r>
    </w:p>
    <w:p w14:paraId="1011F54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common argument holds that Scripture regulated slavery without condemning it, that the church eventually moved past slavery, and that gender follows the same arc.</w:t>
      </w:r>
    </w:p>
    <w:p w14:paraId="1BFBAA8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premise is fair,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p>
    <w:p w14:paraId="20CA52B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p>
    <w:p w14:paraId="0CD4F8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Twice, in two letters, Paul grounds the assembly instruction in the created order (1 Timothy 2:13; 1 Corinthians 11:8–9). The feature that made slavery movable is precisely the feature this instruction has that slavery lacked.</w:t>
      </w:r>
    </w:p>
    <w:p w14:paraId="613ADB95" w14:textId="77777777" w:rsidR="00A94C8F" w:rsidRDefault="00161BC9" w:rsidP="00A94C8F">
      <w:pPr>
        <w:rPr>
          <w:rFonts w:ascii="Segoe UI" w:hAnsi="Segoe UI" w:cs="Segoe UI"/>
          <w:sz w:val="21"/>
          <w:szCs w:val="21"/>
        </w:rPr>
      </w:pPr>
      <w:r>
        <w:pict w14:anchorId="3F182F86">
          <v:rect id="Rectangle 33" o:spid="_x0000_s2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50636FD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202124">
        <w:rPr>
          <w:rFonts w:ascii="Segoe UI" w:hAnsi="Segoe UI" w:cs="Segoe UI"/>
          <w:color w:val="352F3D"/>
          <w:sz w:val="21"/>
          <w:szCs w:val="21"/>
        </w:rPr>
        <w:t>-</w:t>
      </w:r>
      <w:r>
        <w:rPr>
          <w:rFonts w:ascii="Segoe UI" w:hAnsi="Segoe UI" w:cs="Segoe UI"/>
          <w:color w:val="352F3D"/>
          <w:sz w:val="21"/>
          <w:szCs w:val="21"/>
        </w:rPr>
        <w:t xml:space="preserve"> they anoint women at baptism and instruct them afterward, though a man pronounces the invocation over the water.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58DA226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B403DA">
        <w:rPr>
          <w:rFonts w:ascii="Segoe UI" w:hAnsi="Segoe UI" w:cs="Segoe UI"/>
          <w:color w:val="352F3D"/>
          <w:sz w:val="21"/>
          <w:szCs w:val="21"/>
        </w:rPr>
        <w:t>-</w:t>
      </w:r>
      <w:r>
        <w:rPr>
          <w:rFonts w:ascii="Segoe UI" w:hAnsi="Segoe UI" w:cs="Segoe UI"/>
          <w:color w:val="352F3D"/>
          <w:sz w:val="21"/>
          <w:szCs w:val="21"/>
        </w:rPr>
        <w:t xml:space="preserve"> Tertullian is arguing, which means North African congregations were permitting what he opposed.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161BC9" w:rsidP="00A94C8F">
      <w:pPr>
        <w:rPr>
          <w:rFonts w:ascii="Segoe UI" w:hAnsi="Segoe UI" w:cs="Segoe UI"/>
          <w:sz w:val="21"/>
          <w:szCs w:val="21"/>
        </w:rPr>
      </w:pPr>
      <w:r>
        <w:pict w14:anchorId="31561488">
          <v:rect id="Rectangle 31" o:spid="_x0000_s2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42F96BCB"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B403DA">
        <w:rPr>
          <w:rFonts w:ascii="Segoe UI" w:hAnsi="Segoe UI" w:cs="Segoe UI"/>
          <w:color w:val="352F3D"/>
          <w:sz w:val="21"/>
          <w:szCs w:val="21"/>
        </w:rPr>
        <w:t>-</w:t>
      </w:r>
      <w:r>
        <w:rPr>
          <w:rFonts w:ascii="Segoe UI" w:hAnsi="Segoe UI" w:cs="Segoe UI"/>
          <w:color w:val="352F3D"/>
          <w:sz w:val="21"/>
          <w:szCs w:val="21"/>
        </w:rPr>
        <w:t xml:space="preserve"> a strong ally, not an assistant. God's design is ordered unity, shared dominion, relational harmony, and communion with Himself.</w:t>
      </w:r>
    </w:p>
    <w:p w14:paraId="2C76D82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 a creature steps outside an assigned place, autonomy replaces trust, order collapses, relationship fractures.</w:t>
      </w:r>
    </w:p>
    <w:p w14:paraId="664EB65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redemption</w:t>
      </w:r>
      <w:r>
        <w:rPr>
          <w:rFonts w:ascii="Segoe UI" w:hAnsi="Segoe UI" w:cs="Segoe UI"/>
          <w:color w:val="352F3D"/>
          <w:sz w:val="21"/>
          <w:szCs w:val="21"/>
        </w:rPr>
        <w:t>, God does not abolish order. He restores it. He does not flatten distinction; He heals it. Christ is the last Adam, the head of the church, the obedient Son who does not grasp autonomy (Philippians 2) but submits to the Father, and through ordered obedience restores communion.</w:t>
      </w:r>
    </w:p>
    <w:p w14:paraId="74B53F14" w14:textId="7388F033"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church</w:t>
      </w:r>
      <w:r>
        <w:rPr>
          <w:rFonts w:ascii="Segoe UI" w:hAnsi="Segoe UI" w:cs="Segoe UI"/>
          <w:color w:val="352F3D"/>
          <w:sz w:val="21"/>
          <w:szCs w:val="21"/>
        </w:rPr>
        <w:t xml:space="preserve">, the imagery is household (1 Timothy 3:15), family, body, bride </w:t>
      </w:r>
      <w:r w:rsidR="00B403DA">
        <w:rPr>
          <w:rFonts w:ascii="Segoe UI" w:hAnsi="Segoe UI" w:cs="Segoe UI"/>
          <w:color w:val="352F3D"/>
          <w:sz w:val="21"/>
          <w:szCs w:val="21"/>
        </w:rPr>
        <w:t>-</w:t>
      </w:r>
      <w:r>
        <w:rPr>
          <w:rFonts w:ascii="Segoe UI" w:hAnsi="Segoe UI" w:cs="Segoe UI"/>
          <w:color w:val="352F3D"/>
          <w:sz w:val="21"/>
          <w:szCs w:val="21"/>
        </w:rPr>
        <w:t xml:space="preserve"> not corporation, not competitive platform. In a family, authority exists, love governs it, sacrifice defines it, and flourishing is shared.</w:t>
      </w:r>
    </w:p>
    <w:p w14:paraId="6841D38E" w14:textId="74FE1545" w:rsidR="00A94C8F" w:rsidRDefault="00B403DA"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w:t>
      </w:r>
      <w:r w:rsidR="00A94C8F">
        <w:rPr>
          <w:rFonts w:ascii="Segoe UI" w:hAnsi="Segoe UI" w:cs="Segoe UI"/>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The end of Scripture is not hierarchy. It is family dwelling with God: "Look! The residence of God is among human beings"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deepest answer to "what does God want?" is restored sons and daughters, under Christ the faithful head, living in ordered love, reflecting the harmony of new creation.</w:t>
      </w:r>
    </w:p>
    <w:p w14:paraId="10FA0F99" w14:textId="77777777" w:rsidR="00A94C8F" w:rsidRDefault="00161BC9" w:rsidP="00A94C8F">
      <w:pPr>
        <w:rPr>
          <w:rFonts w:ascii="Segoe UI" w:hAnsi="Segoe UI" w:cs="Segoe UI"/>
          <w:sz w:val="21"/>
          <w:szCs w:val="21"/>
        </w:rPr>
      </w:pPr>
      <w:r>
        <w:pict w14:anchorId="34B63C2C">
          <v:rect id="Rectangle 29"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063EB806"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xml:space="preserve"> fails on two grounds </w:t>
      </w:r>
      <w:r w:rsidR="00B403DA">
        <w:rPr>
          <w:rFonts w:ascii="Segoe UI" w:hAnsi="Segoe UI" w:cs="Segoe UI"/>
          <w:color w:val="352F3D"/>
          <w:sz w:val="21"/>
          <w:szCs w:val="21"/>
        </w:rPr>
        <w:t>-</w:t>
      </w:r>
      <w:r>
        <w:rPr>
          <w:rFonts w:ascii="Segoe UI" w:hAnsi="Segoe UI" w:cs="Segoe UI"/>
          <w:color w:val="352F3D"/>
          <w:sz w:val="21"/>
          <w:szCs w:val="21"/>
        </w:rPr>
        <w:t xml:space="preserve"> 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749F15E3"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B403DA">
        <w:rPr>
          <w:rFonts w:ascii="Segoe UI" w:hAnsi="Segoe UI" w:cs="Segoe UI"/>
          <w:color w:val="352F3D"/>
          <w:sz w:val="21"/>
          <w:szCs w:val="21"/>
        </w:rPr>
        <w:t>-</w:t>
      </w:r>
      <w:r>
        <w:rPr>
          <w:rFonts w:ascii="Segoe UI" w:hAnsi="Segoe UI" w:cs="Segoe UI"/>
          <w:color w:val="352F3D"/>
          <w:sz w:val="21"/>
          <w:szCs w:val="21"/>
        </w:rPr>
        <w:t xml:space="preserve"> prophesying versus authoritative evaluation </w:t>
      </w:r>
      <w:r w:rsidR="00B403DA">
        <w:rPr>
          <w:rFonts w:ascii="Segoe UI" w:hAnsi="Segoe UI" w:cs="Segoe UI"/>
          <w:color w:val="352F3D"/>
          <w:sz w:val="21"/>
          <w:szCs w:val="21"/>
        </w:rPr>
        <w:t>-</w:t>
      </w:r>
      <w:r>
        <w:rPr>
          <w:rFonts w:ascii="Segoe UI" w:hAnsi="Segoe UI" w:cs="Segoe UI"/>
          <w:color w:val="352F3D"/>
          <w:sz w:val="21"/>
          <w:szCs w:val="21"/>
        </w:rPr>
        <w:t xml:space="preserve"> 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240A84F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161BC9" w:rsidP="00A94C8F">
      <w:pPr>
        <w:rPr>
          <w:rFonts w:ascii="Segoe UI" w:hAnsi="Segoe UI" w:cs="Segoe UI"/>
          <w:sz w:val="21"/>
          <w:szCs w:val="21"/>
        </w:rPr>
      </w:pPr>
      <w:r>
        <w:pict w14:anchorId="2BA84F1C">
          <v:rect id="Rectangle 27" o:spid="_x0000_s2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7"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8"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9" w:history="1">
        <w:r>
          <w:rPr>
            <w:rStyle w:val="Hyperlink"/>
            <w:rFonts w:ascii="Segoe UI" w:hAnsi="Segoe UI" w:cs="Segoe UI"/>
            <w:color w:val="7138CC"/>
            <w:sz w:val="21"/>
            <w:szCs w:val="21"/>
          </w:rPr>
          <w:t>https://www.newadvent.org/fathers/0403.htm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1"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xml:space="preserve">, 3rd ed., ed. Köstenberger and Thomas R. Schreiner (Crossway, 2016), 117–62. A. L. Bowman, "Women in Ministry: </w:t>
      </w:r>
      <w:r>
        <w:rPr>
          <w:rFonts w:ascii="Segoe UI" w:hAnsi="Segoe UI" w:cs="Segoe UI"/>
          <w:color w:val="352F3D"/>
          <w:sz w:val="21"/>
          <w:szCs w:val="21"/>
        </w:rPr>
        <w:lastRenderedPageBreak/>
        <w:t>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t>Representative opposing views.</w:t>
      </w:r>
      <w:r>
        <w:rPr>
          <w:rFonts w:ascii="Segoe UI" w:hAnsi="Segoe UI" w:cs="Segoe UI"/>
          <w:color w:val="352F3D"/>
          <w:sz w:val="21"/>
          <w:szCs w:val="21"/>
        </w:rPr>
        <w:t> Philip B. Payne on the syntax of 1 Timothy 2:12. Margaret Mowczko, "1 Tim 2:12 and Authentein" (</w:t>
      </w:r>
      <w:hyperlink r:id="rId12" w:history="1">
        <w:r>
          <w:rPr>
            <w:rStyle w:val="Hyperlink"/>
            <w:rFonts w:ascii="Segoe UI" w:hAnsi="Segoe UI" w:cs="Segoe UI"/>
            <w:color w:val="7138CC"/>
            <w:sz w:val="21"/>
            <w:szCs w:val="21"/>
          </w:rPr>
          <w:t>https://michaelfbird.substack.com/p/1-tim-212-and-authentein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3" w:history="1">
        <w:r>
          <w:rPr>
            <w:rStyle w:val="Hyperlink"/>
            <w:rFonts w:ascii="Segoe UI" w:hAnsi="Segoe UI" w:cs="Segoe UI"/>
            <w:color w:val="7138CC"/>
            <w:sz w:val="21"/>
            <w:szCs w:val="21"/>
          </w:rPr>
          <w:t>https://johnmarkhicks.com/2021/03/15/fourteen-questions-about-and-eleven-interpretations-of-1-timothy-212/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4"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5"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4FBC69B3" w:rsidR="00A94C8F" w:rsidRDefault="00A94C8F" w:rsidP="00A94C8F">
      <w:pPr>
        <w:pStyle w:val="code-line"/>
        <w:spacing w:before="0" w:beforeAutospacing="0" w:after="240" w:afterAutospacing="0"/>
        <w:rPr>
          <w:rFonts w:ascii="Segoe UI" w:hAnsi="Segoe UI" w:cs="Segoe UI"/>
          <w:color w:val="352F3D"/>
          <w:sz w:val="21"/>
          <w:szCs w:val="21"/>
        </w:rPr>
      </w:pPr>
    </w:p>
    <w:sectPr w:rsidR="00A94C8F" w:rsidSect="000E1AC1">
      <w:headerReference w:type="even" r:id="rId16"/>
      <w:headerReference w:type="default" r:id="rId17"/>
      <w:footerReference w:type="even" r:id="rId18"/>
      <w:footerReference w:type="default" r:id="rId19"/>
      <w:headerReference w:type="first" r:id="rId20"/>
      <w:footerReference w:type="first" r:id="rId21"/>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6741C0" w14:textId="77777777" w:rsidR="00161BC9" w:rsidRDefault="00161BC9" w:rsidP="00CC7355">
      <w:pPr>
        <w:spacing w:after="0" w:line="240" w:lineRule="auto"/>
      </w:pPr>
      <w:r>
        <w:separator/>
      </w:r>
    </w:p>
  </w:endnote>
  <w:endnote w:type="continuationSeparator" w:id="0">
    <w:p w14:paraId="5BCBF6F8" w14:textId="77777777" w:rsidR="00161BC9" w:rsidRDefault="00161BC9"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14146" w14:textId="77777777" w:rsidR="009D3E26" w:rsidRDefault="009D3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D7F9" w14:textId="77777777" w:rsidR="009D3E26" w:rsidRDefault="009D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AC9BDB" w14:textId="77777777" w:rsidR="00161BC9" w:rsidRDefault="00161BC9" w:rsidP="00CC7355">
      <w:pPr>
        <w:spacing w:after="0" w:line="240" w:lineRule="auto"/>
      </w:pPr>
      <w:r>
        <w:separator/>
      </w:r>
    </w:p>
  </w:footnote>
  <w:footnote w:type="continuationSeparator" w:id="0">
    <w:p w14:paraId="0B9D342D" w14:textId="77777777" w:rsidR="00161BC9" w:rsidRDefault="00161BC9"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E22E9" w14:textId="77777777" w:rsidR="009D3E26" w:rsidRDefault="009D3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7E77" w14:textId="77777777" w:rsidR="009D3E26" w:rsidRDefault="009D3E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C98F4" w14:textId="77777777" w:rsidR="009D3E26" w:rsidRDefault="009D3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6B3"/>
    <w:rsid w:val="00006F75"/>
    <w:rsid w:val="00012E92"/>
    <w:rsid w:val="00041E48"/>
    <w:rsid w:val="000509BA"/>
    <w:rsid w:val="000615E6"/>
    <w:rsid w:val="00067038"/>
    <w:rsid w:val="000B09DD"/>
    <w:rsid w:val="000E1AC1"/>
    <w:rsid w:val="000E3ED2"/>
    <w:rsid w:val="000E7258"/>
    <w:rsid w:val="0012297B"/>
    <w:rsid w:val="00136753"/>
    <w:rsid w:val="00136E76"/>
    <w:rsid w:val="00161BC9"/>
    <w:rsid w:val="00194213"/>
    <w:rsid w:val="001A7A06"/>
    <w:rsid w:val="001B4436"/>
    <w:rsid w:val="001C0A27"/>
    <w:rsid w:val="001D1438"/>
    <w:rsid w:val="00202124"/>
    <w:rsid w:val="00204ECB"/>
    <w:rsid w:val="00261922"/>
    <w:rsid w:val="0029069A"/>
    <w:rsid w:val="002964E1"/>
    <w:rsid w:val="00314084"/>
    <w:rsid w:val="00321871"/>
    <w:rsid w:val="00325235"/>
    <w:rsid w:val="00346D6C"/>
    <w:rsid w:val="00372881"/>
    <w:rsid w:val="00445383"/>
    <w:rsid w:val="00477489"/>
    <w:rsid w:val="004903FD"/>
    <w:rsid w:val="00495A07"/>
    <w:rsid w:val="004C5DD3"/>
    <w:rsid w:val="004E4699"/>
    <w:rsid w:val="00510A5E"/>
    <w:rsid w:val="00587724"/>
    <w:rsid w:val="00596A8F"/>
    <w:rsid w:val="005D562B"/>
    <w:rsid w:val="005E7A4F"/>
    <w:rsid w:val="006100FE"/>
    <w:rsid w:val="00611331"/>
    <w:rsid w:val="00623004"/>
    <w:rsid w:val="00635C6F"/>
    <w:rsid w:val="00636FE4"/>
    <w:rsid w:val="00642A63"/>
    <w:rsid w:val="00644255"/>
    <w:rsid w:val="006474A5"/>
    <w:rsid w:val="00654F6E"/>
    <w:rsid w:val="00675305"/>
    <w:rsid w:val="00677D33"/>
    <w:rsid w:val="006928FD"/>
    <w:rsid w:val="006A1D53"/>
    <w:rsid w:val="006A3DA6"/>
    <w:rsid w:val="006A3F18"/>
    <w:rsid w:val="006B2541"/>
    <w:rsid w:val="006B6BAF"/>
    <w:rsid w:val="006C2824"/>
    <w:rsid w:val="006C6184"/>
    <w:rsid w:val="006C6820"/>
    <w:rsid w:val="006D0BDD"/>
    <w:rsid w:val="006F4F22"/>
    <w:rsid w:val="00706889"/>
    <w:rsid w:val="00707F74"/>
    <w:rsid w:val="007204AC"/>
    <w:rsid w:val="00746DF5"/>
    <w:rsid w:val="007534F5"/>
    <w:rsid w:val="00770D3A"/>
    <w:rsid w:val="007B5654"/>
    <w:rsid w:val="007C0D47"/>
    <w:rsid w:val="007C4FA7"/>
    <w:rsid w:val="007D5A88"/>
    <w:rsid w:val="007F263E"/>
    <w:rsid w:val="007F395A"/>
    <w:rsid w:val="008265C9"/>
    <w:rsid w:val="00852949"/>
    <w:rsid w:val="00856182"/>
    <w:rsid w:val="008678FC"/>
    <w:rsid w:val="008B7976"/>
    <w:rsid w:val="008D1E6A"/>
    <w:rsid w:val="008E3705"/>
    <w:rsid w:val="00931DFF"/>
    <w:rsid w:val="00963B56"/>
    <w:rsid w:val="009756B9"/>
    <w:rsid w:val="00980A94"/>
    <w:rsid w:val="00980AA3"/>
    <w:rsid w:val="009A4455"/>
    <w:rsid w:val="009A64F8"/>
    <w:rsid w:val="009B4703"/>
    <w:rsid w:val="009D3E26"/>
    <w:rsid w:val="00A20367"/>
    <w:rsid w:val="00A31E82"/>
    <w:rsid w:val="00A34305"/>
    <w:rsid w:val="00A41CD2"/>
    <w:rsid w:val="00A553DD"/>
    <w:rsid w:val="00A566C2"/>
    <w:rsid w:val="00A65202"/>
    <w:rsid w:val="00A876A6"/>
    <w:rsid w:val="00A94C8F"/>
    <w:rsid w:val="00AB2CC5"/>
    <w:rsid w:val="00AE267D"/>
    <w:rsid w:val="00AF5FCE"/>
    <w:rsid w:val="00B01A07"/>
    <w:rsid w:val="00B24CEB"/>
    <w:rsid w:val="00B403DA"/>
    <w:rsid w:val="00B440E9"/>
    <w:rsid w:val="00B84D11"/>
    <w:rsid w:val="00B9026E"/>
    <w:rsid w:val="00B97F6A"/>
    <w:rsid w:val="00C00744"/>
    <w:rsid w:val="00C07B7B"/>
    <w:rsid w:val="00C46208"/>
    <w:rsid w:val="00C46992"/>
    <w:rsid w:val="00C56D96"/>
    <w:rsid w:val="00CA34AD"/>
    <w:rsid w:val="00CA6CB8"/>
    <w:rsid w:val="00CC0F49"/>
    <w:rsid w:val="00CC7355"/>
    <w:rsid w:val="00CD0CCE"/>
    <w:rsid w:val="00CD601F"/>
    <w:rsid w:val="00D4277D"/>
    <w:rsid w:val="00D55152"/>
    <w:rsid w:val="00D750C9"/>
    <w:rsid w:val="00D9415D"/>
    <w:rsid w:val="00E32088"/>
    <w:rsid w:val="00E64704"/>
    <w:rsid w:val="00E6585D"/>
    <w:rsid w:val="00E72701"/>
    <w:rsid w:val="00E84811"/>
    <w:rsid w:val="00EE1EAF"/>
    <w:rsid w:val="00EF3808"/>
    <w:rsid w:val="00F151AC"/>
    <w:rsid w:val="00F469B8"/>
    <w:rsid w:val="00F50D34"/>
    <w:rsid w:val="00F56DFE"/>
    <w:rsid w:val="00F67147"/>
    <w:rsid w:val="00F70CAD"/>
    <w:rsid w:val="00F734FC"/>
    <w:rsid w:val="00F8122D"/>
    <w:rsid w:val="00F82153"/>
    <w:rsid w:val="00F8404E"/>
    <w:rsid w:val="00F8654E"/>
    <w:rsid w:val="00FC1AE3"/>
    <w:rsid w:val="00FF184E"/>
    <w:rsid w:val="00FF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 w:type="character" w:styleId="BookTitle">
    <w:name w:val="Book Title"/>
    <w:basedOn w:val="DefaultParagraphFont"/>
    <w:uiPriority w:val="33"/>
    <w:qFormat/>
    <w:rsid w:val="009D3E26"/>
    <w:rPr>
      <w:b/>
      <w:bCs/>
      <w:i/>
      <w:iCs/>
      <w:spacing w:val="5"/>
    </w:rPr>
  </w:style>
  <w:style w:type="paragraph" w:styleId="Caption">
    <w:name w:val="caption"/>
    <w:basedOn w:val="Normal"/>
    <w:next w:val="Normal"/>
    <w:uiPriority w:val="35"/>
    <w:semiHidden/>
    <w:unhideWhenUsed/>
    <w:qFormat/>
    <w:rsid w:val="009D3E26"/>
    <w:pPr>
      <w:spacing w:after="200" w:line="240" w:lineRule="auto"/>
    </w:pPr>
    <w:rPr>
      <w:i/>
      <w:iCs/>
      <w:color w:val="0E2841" w:themeColor="text2"/>
      <w:sz w:val="18"/>
      <w:szCs w:val="18"/>
    </w:rPr>
  </w:style>
  <w:style w:type="paragraph" w:styleId="NoSpacing">
    <w:name w:val="No Spacing"/>
    <w:uiPriority w:val="1"/>
    <w:qFormat/>
    <w:rsid w:val="009D3E26"/>
    <w:pPr>
      <w:spacing w:after="0" w:line="240" w:lineRule="auto"/>
    </w:pPr>
  </w:style>
  <w:style w:type="character" w:styleId="SubtleEmphasis">
    <w:name w:val="Subtle Emphasis"/>
    <w:basedOn w:val="DefaultParagraphFont"/>
    <w:uiPriority w:val="19"/>
    <w:qFormat/>
    <w:rsid w:val="009D3E26"/>
    <w:rPr>
      <w:i/>
      <w:iCs/>
      <w:color w:val="404040" w:themeColor="text1" w:themeTint="BF"/>
    </w:rPr>
  </w:style>
  <w:style w:type="character" w:styleId="SubtleReference">
    <w:name w:val="Subtle Reference"/>
    <w:basedOn w:val="DefaultParagraphFont"/>
    <w:uiPriority w:val="31"/>
    <w:qFormat/>
    <w:rsid w:val="009D3E26"/>
    <w:rPr>
      <w:smallCaps/>
      <w:color w:val="5A5A5A" w:themeColor="text1" w:themeTint="A5"/>
    </w:rPr>
  </w:style>
  <w:style w:type="paragraph" w:styleId="TOCHeading">
    <w:name w:val="TOC Heading"/>
    <w:basedOn w:val="Heading1"/>
    <w:next w:val="Normal"/>
    <w:uiPriority w:val="39"/>
    <w:semiHidden/>
    <w:unhideWhenUsed/>
    <w:qFormat/>
    <w:rsid w:val="009D3E2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letterbible.org/tools/interlinear/mgnt/1ti/2/12/" TargetMode="External"/><Relationship Id="rId13" Type="http://schemas.openxmlformats.org/officeDocument/2006/relationships/hyperlink" Target="https://johnmarkhicks.com/2021/03/15/fourteen-questions-about-and-eleven-interpretations-of-1-timothy-212/"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netbible.org" TargetMode="External"/><Relationship Id="rId12" Type="http://schemas.openxmlformats.org/officeDocument/2006/relationships/hyperlink" Target="https://michaelfbird.substack.com/p/1-tim-212-and-authentein"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omendeacons.org/didascalia-apostolorum/" TargetMode="External"/><Relationship Id="rId5" Type="http://schemas.openxmlformats.org/officeDocument/2006/relationships/footnotes" Target="footnotes.xml"/><Relationship Id="rId15" Type="http://schemas.openxmlformats.org/officeDocument/2006/relationships/hyperlink" Target="https://www.youtube.com/watch?v=PFwvdeUjt5s" TargetMode="External"/><Relationship Id="rId23" Type="http://schemas.openxmlformats.org/officeDocument/2006/relationships/theme" Target="theme/theme1.xml"/><Relationship Id="rId10" Type="http://schemas.openxmlformats.org/officeDocument/2006/relationships/hyperlink" Target="https://www.newadvent.org/fathers/0321.htm"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newadvent.org/fathers/0403.htm" TargetMode="External"/><Relationship Id="rId14" Type="http://schemas.openxmlformats.org/officeDocument/2006/relationships/hyperlink" Target="https://uasvbible.org/2025/04/24/feminism-and-the-bible-an-analysis-of-feminist-theologys-reinterpretation-of-christian-doctrine-and-author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13</Pages>
  <Words>5388</Words>
  <Characters>29311</Characters>
  <Application>Microsoft Office Word</Application>
  <DocSecurity>0</DocSecurity>
  <Lines>563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7</cp:revision>
  <cp:lastPrinted>2026-04-26T12:42:00Z</cp:lastPrinted>
  <dcterms:created xsi:type="dcterms:W3CDTF">2026-08-13T23:22:00Z</dcterms:created>
  <dcterms:modified xsi:type="dcterms:W3CDTF">2026-08-17T22:20:00Z</dcterms:modified>
</cp:coreProperties>
</file>