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6737C85F" w:rsidR="00AB2CC5" w:rsidRPr="00596A8F" w:rsidRDefault="00AB2CC5" w:rsidP="00596A8F">
      <w:pPr>
        <w:jc w:val="center"/>
      </w:pPr>
      <w:r>
        <w:t>https://tinyurl.com/</w:t>
      </w:r>
      <w:r w:rsidR="00A94C8F">
        <w:t>TeachTheWord</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7C250C" w:rsidP="00A94C8F">
      <w:pPr>
        <w:rPr>
          <w:rFonts w:ascii="Segoe UI" w:hAnsi="Segoe UI" w:cs="Segoe UI"/>
          <w:sz w:val="21"/>
          <w:szCs w:val="21"/>
        </w:rPr>
      </w:pPr>
      <w:r>
        <w:pict w14:anchorId="73EC9E1B">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7C250C" w:rsidP="00A94C8F">
      <w:pPr>
        <w:rPr>
          <w:rFonts w:ascii="Segoe UI" w:hAnsi="Segoe UI" w:cs="Segoe UI"/>
          <w:sz w:val="21"/>
          <w:szCs w:val="21"/>
        </w:rPr>
      </w:pPr>
      <w:r>
        <w:pict w14:anchorId="0E0D8855">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493D8CFC"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restricted.</w:t>
      </w:r>
    </w:p>
    <w:p w14:paraId="4F8F3605" w14:textId="7587690D"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Regardless, </w:t>
      </w:r>
      <w:r w:rsidR="006B6BAF">
        <w:rPr>
          <w:rStyle w:val="Strong"/>
          <w:rFonts w:ascii="Segoe UI" w:hAnsi="Segoe UI" w:cs="Segoe UI"/>
          <w:b w:val="0"/>
          <w:bCs w:val="0"/>
          <w:color w:val="352F3D"/>
          <w:sz w:val="21"/>
          <w:szCs w:val="21"/>
        </w:rPr>
        <w:t xml:space="preserve">it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critical analysis.  Such criticism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B163A6"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w:t>
      </w:r>
      <w:r w:rsidR="00F469B8">
        <w:rPr>
          <w:rFonts w:ascii="Segoe UI" w:hAnsi="Segoe UI" w:cs="Segoe UI"/>
          <w:color w:val="352F3D"/>
          <w:sz w:val="21"/>
          <w:szCs w:val="21"/>
        </w:rPr>
        <w:t xml:space="preserve">  Note also the differences in teaching venue, private versus assembly.</w:t>
      </w:r>
    </w:p>
    <w:p w14:paraId="3E17819D" w14:textId="21FB9B3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w:t>
      </w:r>
      <w:r w:rsidR="00F469B8">
        <w:rPr>
          <w:rFonts w:ascii="Segoe UI" w:hAnsi="Segoe UI" w:cs="Segoe UI"/>
          <w:color w:val="352F3D"/>
          <w:sz w:val="21"/>
          <w:szCs w:val="21"/>
        </w:rPr>
        <w:t xml:space="preserve"> or authoritative </w:t>
      </w:r>
      <w:r>
        <w:rPr>
          <w:rFonts w:ascii="Segoe UI" w:hAnsi="Segoe UI" w:cs="Segoe UI"/>
          <w:color w:val="352F3D"/>
          <w:sz w:val="21"/>
          <w:szCs w:val="21"/>
        </w:rPr>
        <w:t>teaching function, not speech in general.</w:t>
      </w:r>
      <w:r w:rsidR="00006321">
        <w:rPr>
          <w:rFonts w:ascii="Segoe UI" w:hAnsi="Segoe UI" w:cs="Segoe UI"/>
          <w:color w:val="352F3D"/>
          <w:sz w:val="21"/>
          <w:szCs w:val="21"/>
        </w:rPr>
        <w:t xml:space="preserve"> </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440D0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The New Testament contains no explicit prohibition on a woman baptizing. The early church did prohibit it</w:t>
      </w:r>
      <w:r w:rsidR="00C75D40">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xml:space="preserve"> (c. 230–250) calls it "a transgression of the commandment." That is weighty testimony about apostolic practice. It is not </w:t>
      </w:r>
      <w:r w:rsidR="00F469B8">
        <w:rPr>
          <w:rFonts w:ascii="Segoe UI" w:hAnsi="Segoe UI" w:cs="Segoe UI"/>
          <w:color w:val="352F3D"/>
          <w:sz w:val="21"/>
          <w:szCs w:val="21"/>
        </w:rPr>
        <w:t xml:space="preserve">an explicit </w:t>
      </w:r>
      <w:r>
        <w:rPr>
          <w:rFonts w:ascii="Segoe UI" w:hAnsi="Segoe UI" w:cs="Segoe UI"/>
          <w:color w:val="352F3D"/>
          <w:sz w:val="21"/>
          <w:szCs w:val="21"/>
        </w:rPr>
        <w:t xml:space="preserve">apostolic </w:t>
      </w:r>
      <w:r w:rsidR="00F469B8">
        <w:rPr>
          <w:rFonts w:ascii="Segoe UI" w:hAnsi="Segoe UI" w:cs="Segoe UI"/>
          <w:color w:val="352F3D"/>
          <w:sz w:val="21"/>
          <w:szCs w:val="21"/>
        </w:rPr>
        <w:t>command</w:t>
      </w:r>
      <w:r>
        <w:rPr>
          <w:rFonts w:ascii="Segoe UI" w:hAnsi="Segoe UI" w:cs="Segoe UI"/>
          <w:color w:val="352F3D"/>
          <w:sz w:val="21"/>
          <w:szCs w:val="21"/>
        </w:rPr>
        <w:t>, and this study will not present it as one.</w:t>
      </w:r>
    </w:p>
    <w:p w14:paraId="463917CC" w14:textId="07E6975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w:t>
      </w:r>
      <w:r w:rsidR="00006321">
        <w:rPr>
          <w:rFonts w:ascii="Segoe UI" w:hAnsi="Segoe UI" w:cs="Segoe UI"/>
          <w:color w:val="352F3D"/>
          <w:sz w:val="21"/>
          <w:szCs w:val="21"/>
        </w:rPr>
        <w:t xml:space="preserve"> (i.e. communion)</w:t>
      </w:r>
      <w:r>
        <w:rPr>
          <w:rFonts w:ascii="Segoe UI" w:hAnsi="Segoe UI" w:cs="Segoe UI"/>
          <w:color w:val="352F3D"/>
          <w:sz w:val="21"/>
          <w:szCs w:val="21"/>
        </w:rPr>
        <w:t xml:space="preserve">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13AE1D0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r w:rsidR="00F469B8">
        <w:rPr>
          <w:rFonts w:ascii="Segoe UI" w:hAnsi="Segoe UI" w:cs="Segoe UI"/>
          <w:color w:val="352F3D"/>
          <w:sz w:val="21"/>
          <w:szCs w:val="21"/>
        </w:rPr>
        <w:t>Women did prophecy, pray, and speak in tongues during assembly (though Paul restricted each form</w:t>
      </w:r>
      <w:r w:rsidR="00006321">
        <w:rPr>
          <w:rFonts w:ascii="Segoe UI" w:hAnsi="Segoe UI" w:cs="Segoe UI"/>
          <w:color w:val="352F3D"/>
          <w:sz w:val="21"/>
          <w:szCs w:val="21"/>
        </w:rPr>
        <w:t xml:space="preserve"> on account of prevalent disorder in the assembly</w:t>
      </w:r>
      <w:r w:rsidR="00F469B8">
        <w:rPr>
          <w:rFonts w:ascii="Segoe UI" w:hAnsi="Segoe UI" w:cs="Segoe UI"/>
          <w:color w:val="352F3D"/>
          <w:sz w:val="21"/>
          <w:szCs w:val="21"/>
        </w:rPr>
        <w:t>).</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3"/>
        <w:gridCol w:w="3854"/>
        <w:gridCol w:w="1643"/>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074F2511"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006321">
              <w:rPr>
                <w:rFonts w:ascii="Segoe UI" w:hAnsi="Segoe UI" w:cs="Segoe UI"/>
                <w:color w:val="352F3D"/>
                <w:sz w:val="21"/>
                <w:szCs w:val="21"/>
              </w:rPr>
              <w:t xml:space="preserve">must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4F217E5F" w:rsidR="00D9415D" w:rsidRDefault="001D1438">
            <w:pPr>
              <w:spacing w:after="168"/>
              <w:rPr>
                <w:rFonts w:ascii="Segoe UI" w:hAnsi="Segoe UI" w:cs="Segoe UI"/>
                <w:color w:val="352F3D"/>
                <w:sz w:val="21"/>
                <w:szCs w:val="21"/>
              </w:rPr>
            </w:pPr>
            <w:r>
              <w:rPr>
                <w:rFonts w:ascii="Segoe UI" w:hAnsi="Segoe UI" w:cs="Segoe UI"/>
                <w:color w:val="352F3D"/>
                <w:sz w:val="21"/>
                <w:szCs w:val="21"/>
              </w:rPr>
              <w:t>Strong</w:t>
            </w:r>
          </w:p>
        </w:tc>
      </w:tr>
    </w:tbl>
    <w:p w14:paraId="72C1ACE1" w14:textId="77777777" w:rsidR="00A94C8F" w:rsidRDefault="007C250C" w:rsidP="00A94C8F">
      <w:pPr>
        <w:spacing w:after="0"/>
        <w:rPr>
          <w:rFonts w:ascii="Segoe UI" w:hAnsi="Segoe UI" w:cs="Segoe UI"/>
          <w:sz w:val="21"/>
          <w:szCs w:val="21"/>
        </w:rPr>
      </w:pPr>
      <w:r>
        <w:pict w14:anchorId="4D2945C2">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39602A0D"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r w:rsidR="00F469B8">
        <w:rPr>
          <w:rFonts w:ascii="Segoe UI" w:hAnsi="Segoe UI" w:cs="Segoe UI"/>
          <w:color w:val="352F3D"/>
          <w:sz w:val="21"/>
          <w:szCs w:val="21"/>
        </w:rPr>
        <w:t xml:space="preserve">  </w:t>
      </w:r>
    </w:p>
    <w:p w14:paraId="03D1B60A" w14:textId="2A308F70" w:rsidR="00F469B8" w:rsidRDefault="00F469B8"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Given that Paul refers to God’s created order (</w:t>
      </w:r>
      <w:r w:rsidR="004E4699">
        <w:rPr>
          <w:rFonts w:ascii="Segoe UI" w:hAnsi="Segoe UI" w:cs="Segoe UI"/>
          <w:color w:val="352F3D"/>
          <w:sz w:val="21"/>
          <w:szCs w:val="21"/>
        </w:rPr>
        <w:t xml:space="preserve">Genesis 2 </w:t>
      </w:r>
      <w:r w:rsidR="001D1438">
        <w:rPr>
          <w:rFonts w:ascii="Segoe UI" w:hAnsi="Segoe UI" w:cs="Segoe UI"/>
          <w:color w:val="352F3D"/>
          <w:sz w:val="21"/>
          <w:szCs w:val="21"/>
        </w:rPr>
        <w:t>–</w:t>
      </w:r>
      <w:r w:rsidR="004E4699">
        <w:rPr>
          <w:rFonts w:ascii="Segoe UI" w:hAnsi="Segoe UI" w:cs="Segoe UI"/>
          <w:color w:val="352F3D"/>
          <w:sz w:val="21"/>
          <w:szCs w:val="21"/>
        </w:rPr>
        <w:t xml:space="preserve"> </w:t>
      </w:r>
      <w:r>
        <w:rPr>
          <w:rFonts w:ascii="Segoe UI" w:hAnsi="Segoe UI" w:cs="Segoe UI"/>
          <w:color w:val="352F3D"/>
          <w:sz w:val="21"/>
          <w:szCs w:val="21"/>
        </w:rPr>
        <w:t>male</w:t>
      </w:r>
      <w:r w:rsidR="001D1438">
        <w:rPr>
          <w:rFonts w:ascii="Segoe UI" w:hAnsi="Segoe UI" w:cs="Segoe UI"/>
          <w:color w:val="352F3D"/>
          <w:sz w:val="21"/>
          <w:szCs w:val="21"/>
        </w:rPr>
        <w:t xml:space="preserve"> and </w:t>
      </w:r>
      <w:r>
        <w:rPr>
          <w:rFonts w:ascii="Segoe UI" w:hAnsi="Segoe UI" w:cs="Segoe UI"/>
          <w:color w:val="352F3D"/>
          <w:sz w:val="21"/>
          <w:szCs w:val="21"/>
        </w:rPr>
        <w:t>female</w:t>
      </w:r>
      <w:r w:rsidR="001D1438">
        <w:rPr>
          <w:rFonts w:ascii="Segoe UI" w:hAnsi="Segoe UI" w:cs="Segoe UI"/>
          <w:color w:val="352F3D"/>
          <w:sz w:val="21"/>
          <w:szCs w:val="21"/>
        </w:rPr>
        <w:t xml:space="preserve"> roles</w:t>
      </w:r>
      <w:r>
        <w:rPr>
          <w:rFonts w:ascii="Segoe UI" w:hAnsi="Segoe UI" w:cs="Segoe UI"/>
          <w:color w:val="352F3D"/>
          <w:sz w:val="21"/>
          <w:szCs w:val="21"/>
        </w:rPr>
        <w:t>) and even before the Fall</w:t>
      </w:r>
      <w:r w:rsidR="004E4699">
        <w:rPr>
          <w:rFonts w:ascii="Segoe UI" w:hAnsi="Segoe UI" w:cs="Segoe UI"/>
          <w:color w:val="352F3D"/>
          <w:sz w:val="21"/>
          <w:szCs w:val="21"/>
        </w:rPr>
        <w:t xml:space="preserve"> (Genesis 3), how does God’s original design indicate his purpose for gender roles</w:t>
      </w:r>
      <w:r w:rsidR="00C75D40">
        <w:rPr>
          <w:rFonts w:ascii="Segoe UI" w:hAnsi="Segoe UI" w:cs="Segoe UI"/>
          <w:color w:val="352F3D"/>
          <w:sz w:val="21"/>
          <w:szCs w:val="21"/>
        </w:rPr>
        <w:t xml:space="preserve"> within His church</w:t>
      </w:r>
      <w:r w:rsidR="004E4699">
        <w:rPr>
          <w:rFonts w:ascii="Segoe UI" w:hAnsi="Segoe UI" w:cs="Segoe UI"/>
          <w:color w:val="352F3D"/>
          <w:sz w:val="21"/>
          <w:szCs w:val="21"/>
        </w:rPr>
        <w:t xml:space="preserve">? </w:t>
      </w:r>
    </w:p>
    <w:p w14:paraId="349589A6" w14:textId="77777777" w:rsidR="00A94C8F" w:rsidRDefault="007C250C" w:rsidP="00A94C8F">
      <w:pPr>
        <w:rPr>
          <w:rFonts w:ascii="Segoe UI" w:hAnsi="Segoe UI" w:cs="Segoe UI"/>
          <w:sz w:val="21"/>
          <w:szCs w:val="21"/>
        </w:rPr>
      </w:pPr>
      <w:r>
        <w:pict w14:anchorId="05AF5769">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3022CD15"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xml:space="preserve"> Let a woman learn, with a quiet demeanor and full receptiveness to the teaching. But I am not </w:t>
      </w:r>
      <w:r w:rsidRPr="004E4699">
        <w:rPr>
          <w:rFonts w:ascii="Segoe UI" w:hAnsi="Segoe UI" w:cs="Segoe UI"/>
          <w:i/>
          <w:iCs/>
          <w:color w:val="352F3D"/>
          <w:sz w:val="21"/>
          <w:szCs w:val="21"/>
        </w:rPr>
        <w:t>currently</w:t>
      </w:r>
      <w:r>
        <w:rPr>
          <w:rFonts w:ascii="Segoe UI" w:hAnsi="Segoe UI" w:cs="Segoe UI"/>
          <w:color w:val="352F3D"/>
          <w:sz w:val="21"/>
          <w:szCs w:val="21"/>
        </w:rPr>
        <w:t xml:space="preserve"> permitting a woman to teach in a</w:t>
      </w:r>
      <w:r w:rsidR="004E4699">
        <w:rPr>
          <w:rFonts w:ascii="Segoe UI" w:hAnsi="Segoe UI" w:cs="Segoe UI"/>
          <w:color w:val="352F3D"/>
          <w:sz w:val="21"/>
          <w:szCs w:val="21"/>
        </w:rPr>
        <w:t xml:space="preserve"> domineering</w:t>
      </w:r>
      <w:r>
        <w:rPr>
          <w:rFonts w:ascii="Segoe UI" w:hAnsi="Segoe UI" w:cs="Segoe UI"/>
          <w:color w:val="352F3D"/>
          <w:sz w:val="21"/>
          <w:szCs w:val="21"/>
        </w:rPr>
        <w:t xml:space="preserve">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7C250C" w:rsidP="00A94C8F">
      <w:pPr>
        <w:rPr>
          <w:rFonts w:ascii="Segoe UI" w:hAnsi="Segoe UI" w:cs="Segoe UI"/>
          <w:sz w:val="21"/>
          <w:szCs w:val="21"/>
        </w:rPr>
      </w:pPr>
      <w:r>
        <w:pict w14:anchorId="440D0D8D">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lastRenderedPageBreak/>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046159BC"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lastRenderedPageBreak/>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43AA484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verb occurs </w:t>
      </w:r>
      <w:r w:rsidR="004041F7">
        <w:rPr>
          <w:rFonts w:ascii="Segoe UI" w:hAnsi="Segoe UI" w:cs="Segoe UI"/>
          <w:color w:val="352F3D"/>
          <w:sz w:val="21"/>
          <w:szCs w:val="21"/>
        </w:rPr>
        <w:t xml:space="preserve">just </w:t>
      </w:r>
      <w:r>
        <w:rPr>
          <w:rFonts w:ascii="Segoe UI" w:hAnsi="Segoe UI" w:cs="Segoe UI"/>
          <w:color w:val="352F3D"/>
          <w:sz w:val="21"/>
          <w:szCs w:val="21"/>
        </w:rPr>
        <w:t xml:space="preserve">once in the New Testament. In broader </w:t>
      </w:r>
      <w:r w:rsidR="004041F7">
        <w:rPr>
          <w:rFonts w:ascii="Segoe UI" w:hAnsi="Segoe UI" w:cs="Segoe UI"/>
          <w:color w:val="352F3D"/>
          <w:sz w:val="21"/>
          <w:szCs w:val="21"/>
        </w:rPr>
        <w:t xml:space="preserve">period </w:t>
      </w:r>
      <w:r>
        <w:rPr>
          <w:rFonts w:ascii="Segoe UI" w:hAnsi="Segoe UI" w:cs="Segoe UI"/>
          <w:color w:val="352F3D"/>
          <w:sz w:val="21"/>
          <w:szCs w:val="21"/>
        </w:rPr>
        <w:t>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46E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0EAA8A8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A — the Messiah's birth.</w:t>
      </w:r>
      <w:r>
        <w:rPr>
          <w:rFonts w:ascii="Segoe UI" w:hAnsi="Segoe UI" w:cs="Segoe UI"/>
          <w:color w:val="352F3D"/>
          <w:sz w:val="21"/>
          <w:szCs w:val="21"/>
        </w:rPr>
        <w:t> "She will be saved through </w:t>
      </w:r>
      <w:r>
        <w:rPr>
          <w:rStyle w:val="Emphasis"/>
          <w:rFonts w:ascii="Segoe UI" w:hAnsi="Segoe UI" w:cs="Segoe UI"/>
          <w:color w:val="352F3D"/>
          <w:sz w:val="21"/>
          <w:szCs w:val="21"/>
        </w:rPr>
        <w:t>the</w:t>
      </w:r>
      <w:r>
        <w:rPr>
          <w:rFonts w:ascii="Segoe UI" w:hAnsi="Segoe UI" w:cs="Segoe UI"/>
          <w:color w:val="352F3D"/>
          <w:sz w:val="21"/>
          <w:szCs w:val="21"/>
        </w:rPr>
        <w:t> childbearing," pointing to the promised seed (Genesis 3:15). Fits biblical theology; the grammar is debated and "childbearing" is a general term.</w:t>
      </w:r>
    </w:p>
    <w:p w14:paraId="3F9019D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B — preservation through the dangers of childbirth.</w:t>
      </w:r>
      <w:r>
        <w:rPr>
          <w:rFonts w:ascii="Segoe UI" w:hAnsi="Segoe UI" w:cs="Segoe UI"/>
          <w:color w:val="352F3D"/>
          <w:sz w:val="21"/>
          <w:szCs w:val="21"/>
        </w:rPr>
        <w:t> Ancient childbirth was dangerous. Weakness: the condition "if they continue in faith" sounds moral and spiritual rather than medical.</w:t>
      </w:r>
    </w:p>
    <w:p w14:paraId="163CB9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Option C — salvation worked out in the embraced calling.</w:t>
      </w:r>
      <w:r>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14158FC0"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w:t>
      </w:r>
      <w:r w:rsidR="00E10437">
        <w:rPr>
          <w:rFonts w:ascii="Segoe UI" w:hAnsi="Segoe UI" w:cs="Segoe UI"/>
          <w:color w:val="352F3D"/>
          <w:sz w:val="21"/>
          <w:szCs w:val="21"/>
        </w:rPr>
        <w:t xml:space="preserve"> is </w:t>
      </w:r>
      <w:r>
        <w:rPr>
          <w:rFonts w:ascii="Segoe UI" w:hAnsi="Segoe UI" w:cs="Segoe UI"/>
          <w:color w:val="352F3D"/>
          <w:sz w:val="21"/>
          <w:szCs w:val="21"/>
        </w:rPr>
        <w:t>re-center on persevering godliness. Paul does not end with "women, stay down." He ends with "women, continue in mature holiness."</w:t>
      </w:r>
    </w:p>
    <w:p w14:paraId="59321AB1" w14:textId="77777777" w:rsidR="00A94C8F" w:rsidRDefault="007C250C" w:rsidP="00A94C8F">
      <w:pPr>
        <w:rPr>
          <w:rFonts w:ascii="Segoe UI" w:hAnsi="Segoe UI" w:cs="Segoe UI"/>
          <w:sz w:val="21"/>
          <w:szCs w:val="21"/>
        </w:rPr>
      </w:pPr>
      <w:r>
        <w:pict w14:anchorId="0B143587">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2B09833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teaching by women</w:t>
      </w:r>
      <w:r w:rsidR="004041F7">
        <w:rPr>
          <w:rFonts w:ascii="Segoe UI" w:hAnsi="Segoe UI" w:cs="Segoe UI"/>
          <w:color w:val="352F3D"/>
          <w:sz w:val="21"/>
          <w:szCs w:val="21"/>
        </w:rPr>
        <w:t xml:space="preserve">…, </w:t>
      </w:r>
      <w:r>
        <w:rPr>
          <w:rFonts w:ascii="Segoe UI" w:hAnsi="Segoe UI" w:cs="Segoe UI"/>
          <w:color w:val="352F3D"/>
          <w:sz w:val="21"/>
          <w:szCs w:val="21"/>
        </w:rPr>
        <w:t>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things, and they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6C18EB5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itself spans neutral "to rule" and negative "to tyrannize," so the renderings do not settle the question</w:t>
      </w:r>
      <w:r w:rsidR="004041F7">
        <w:rPr>
          <w:rFonts w:ascii="Segoe UI" w:hAnsi="Segoe UI" w:cs="Segoe UI"/>
          <w:color w:val="352F3D"/>
          <w:sz w:val="21"/>
          <w:szCs w:val="21"/>
        </w:rPr>
        <w:t>. A</w:t>
      </w:r>
      <w:r>
        <w:rPr>
          <w:rFonts w:ascii="Segoe UI" w:hAnsi="Segoe UI" w:cs="Segoe UI"/>
          <w:color w:val="352F3D"/>
          <w:sz w:val="21"/>
          <w:szCs w:val="21"/>
        </w:rPr>
        <w:t>nd</w:t>
      </w:r>
      <w:r w:rsidR="004041F7">
        <w:rPr>
          <w:rFonts w:ascii="Segoe UI" w:hAnsi="Segoe UI" w:cs="Segoe UI"/>
          <w:color w:val="352F3D"/>
          <w:sz w:val="21"/>
          <w:szCs w:val="21"/>
        </w:rPr>
        <w:t>,</w:t>
      </w:r>
      <w:r>
        <w:rPr>
          <w:rFonts w:ascii="Segoe UI" w:hAnsi="Segoe UI" w:cs="Segoe UI"/>
          <w:color w:val="352F3D"/>
          <w:sz w:val="21"/>
          <w:szCs w:val="21"/>
        </w:rPr>
        <w:t xml:space="preserve"> in any case</w:t>
      </w:r>
      <w:r w:rsidR="004041F7">
        <w:rPr>
          <w:rFonts w:ascii="Segoe UI" w:hAnsi="Segoe UI" w:cs="Segoe UI"/>
          <w:color w:val="352F3D"/>
          <w:sz w:val="21"/>
          <w:szCs w:val="21"/>
        </w:rPr>
        <w:t>,</w:t>
      </w:r>
      <w:r>
        <w:rPr>
          <w:rFonts w:ascii="Segoe UI" w:hAnsi="Segoe UI" w:cs="Segoe UI"/>
          <w:color w:val="352F3D"/>
          <w:sz w:val="21"/>
          <w:szCs w:val="21"/>
        </w:rPr>
        <w:t xml:space="preserv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6B70E5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w:t>
      </w:r>
      <w:r w:rsidR="004041F7">
        <w:rPr>
          <w:rFonts w:ascii="Segoe UI" w:hAnsi="Segoe UI" w:cs="Segoe UI"/>
          <w:color w:val="352F3D"/>
          <w:sz w:val="21"/>
          <w:szCs w:val="21"/>
        </w:rPr>
        <w:t xml:space="preserve">…, </w:t>
      </w:r>
      <w:r>
        <w:rPr>
          <w:rFonts w:ascii="Segoe UI" w:hAnsi="Segoe UI" w:cs="Segoe UI"/>
          <w:color w:val="352F3D"/>
          <w:sz w:val="21"/>
          <w:szCs w:val="21"/>
        </w:rPr>
        <w:t>there was real disorder among some women in Ephesus (5:13–15). That context plausibly explains the letter's urgency and some adjacent applications. It does not supply Paul's stated reason in 2:13–14.</w:t>
      </w:r>
    </w:p>
    <w:p w14:paraId="6E6CB118" w14:textId="77777777" w:rsidR="00A94C8F" w:rsidRDefault="007C250C" w:rsidP="00A94C8F">
      <w:pPr>
        <w:rPr>
          <w:rFonts w:ascii="Segoe UI" w:hAnsi="Segoe UI" w:cs="Segoe UI"/>
          <w:sz w:val="21"/>
          <w:szCs w:val="21"/>
        </w:rPr>
      </w:pPr>
      <w:r>
        <w:pict w14:anchorId="2B9B60A4">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6.3 Structure and Placement</w:t>
      </w:r>
    </w:p>
    <w:p w14:paraId="66FD7F52" w14:textId="15D7A4C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w:t>
      </w:r>
      <w:r w:rsidR="004041F7">
        <w:rPr>
          <w:rFonts w:ascii="Segoe UI" w:hAnsi="Segoe UI" w:cs="Segoe UI"/>
          <w:color w:val="352F3D"/>
          <w:sz w:val="21"/>
          <w:szCs w:val="21"/>
        </w:rPr>
        <w:t>…,</w:t>
      </w:r>
      <w:r>
        <w:rPr>
          <w:rFonts w:ascii="Segoe UI" w:hAnsi="Segoe UI" w:cs="Segoe UI"/>
          <w:color w:val="352F3D"/>
          <w:sz w:val="21"/>
          <w:szCs w:val="21"/>
        </w:rPr>
        <w:t xml:space="preserve">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244"/>
        <w:gridCol w:w="2635"/>
        <w:gridCol w:w="1893"/>
        <w:gridCol w:w="3588"/>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lastRenderedPageBreak/>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32AF15FF"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r w:rsidR="00DC1DB0">
              <w:rPr>
                <w:rFonts w:ascii="Segoe UI" w:hAnsi="Segoe UI" w:cs="Segoe UI"/>
                <w:color w:val="352F3D"/>
                <w:sz w:val="21"/>
                <w:szCs w:val="21"/>
              </w:rPr>
              <w:t>, nor does this indicate “abusive usurpation” of men in the church.</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7C250C" w:rsidP="00A94C8F">
      <w:pPr>
        <w:rPr>
          <w:rFonts w:ascii="Segoe UI" w:hAnsi="Segoe UI" w:cs="Segoe UI"/>
          <w:sz w:val="21"/>
          <w:szCs w:val="21"/>
        </w:rPr>
      </w:pPr>
      <w:r>
        <w:pict w14:anchorId="16F9D7F8">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2A16A919"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w:t>
      </w:r>
      <w:r w:rsidR="00194213">
        <w:rPr>
          <w:rFonts w:ascii="Segoe UI" w:hAnsi="Segoe UI" w:cs="Segoe UI"/>
          <w:color w:val="352F3D"/>
          <w:sz w:val="21"/>
          <w:szCs w:val="21"/>
        </w:rPr>
        <w:t xml:space="preserve">(i.e. a servant) </w:t>
      </w:r>
      <w:r>
        <w:rPr>
          <w:rFonts w:ascii="Segoe UI" w:hAnsi="Segoe UI" w:cs="Segoe UI"/>
          <w:color w:val="352F3D"/>
          <w:sz w:val="21"/>
          <w:szCs w:val="21"/>
        </w:rPr>
        <w:t>of the church at Cenchrea (Romans 16:1)</w:t>
      </w:r>
      <w:r w:rsidR="00194213">
        <w:rPr>
          <w:rFonts w:ascii="Segoe UI" w:hAnsi="Segoe UI" w:cs="Segoe UI"/>
          <w:color w:val="352F3D"/>
          <w:sz w:val="21"/>
          <w:szCs w:val="21"/>
        </w:rPr>
        <w:t xml:space="preserve">, though Paul is most </w:t>
      </w:r>
      <w:r w:rsidR="00F675D5">
        <w:rPr>
          <w:rFonts w:ascii="Segoe UI" w:hAnsi="Segoe UI" w:cs="Segoe UI"/>
          <w:color w:val="352F3D"/>
          <w:sz w:val="21"/>
          <w:szCs w:val="21"/>
        </w:rPr>
        <w:t>contextually</w:t>
      </w:r>
      <w:r w:rsidR="00194213">
        <w:rPr>
          <w:rFonts w:ascii="Segoe UI" w:hAnsi="Segoe UI" w:cs="Segoe UI"/>
          <w:color w:val="352F3D"/>
          <w:sz w:val="21"/>
          <w:szCs w:val="21"/>
        </w:rPr>
        <w:t xml:space="preserve"> invoking “complementary praise” </w:t>
      </w:r>
      <w:r w:rsidR="00F675D5">
        <w:rPr>
          <w:rFonts w:ascii="Segoe UI" w:hAnsi="Segoe UI" w:cs="Segoe UI"/>
          <w:color w:val="352F3D"/>
          <w:sz w:val="21"/>
          <w:szCs w:val="21"/>
        </w:rPr>
        <w:t>rather than</w:t>
      </w:r>
      <w:r w:rsidR="00194213">
        <w:rPr>
          <w:rFonts w:ascii="Segoe UI" w:hAnsi="Segoe UI" w:cs="Segoe UI"/>
          <w:color w:val="352F3D"/>
          <w:sz w:val="21"/>
          <w:szCs w:val="21"/>
        </w:rPr>
        <w:t xml:space="preserve"> recognition of church office.</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7C250C" w:rsidP="00A94C8F">
      <w:pPr>
        <w:rPr>
          <w:rFonts w:ascii="Segoe UI" w:hAnsi="Segoe UI" w:cs="Segoe UI"/>
          <w:sz w:val="21"/>
          <w:szCs w:val="21"/>
        </w:rPr>
      </w:pPr>
      <w:r>
        <w:pict w14:anchorId="57DA9FE2">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753B8BD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delivered by appointment, handed down, received</w:t>
      </w:r>
      <w:r w:rsidR="00446601">
        <w:rPr>
          <w:rFonts w:ascii="Segoe UI" w:hAnsi="Segoe UI" w:cs="Segoe UI"/>
          <w:color w:val="352F3D"/>
          <w:sz w:val="21"/>
          <w:szCs w:val="21"/>
        </w:rPr>
        <w:t>) o</w:t>
      </w:r>
      <w:r>
        <w:rPr>
          <w:rFonts w:ascii="Segoe UI" w:hAnsi="Segoe UI" w:cs="Segoe UI"/>
          <w:color w:val="352F3D"/>
          <w:sz w:val="21"/>
          <w:szCs w:val="21"/>
        </w:rPr>
        <w:t>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produced by gifting, sincerity, demonstrated results, or cultural progress</w:t>
      </w:r>
      <w:r w:rsidR="00446601">
        <w:rPr>
          <w:rFonts w:ascii="Segoe UI" w:hAnsi="Segoe UI" w:cs="Segoe UI"/>
          <w:color w:val="352F3D"/>
          <w:sz w:val="21"/>
          <w:szCs w:val="21"/>
        </w:rPr>
        <w:t>)</w:t>
      </w:r>
      <w:r>
        <w:rPr>
          <w:rFonts w:ascii="Segoe UI" w:hAnsi="Segoe UI" w:cs="Segoe UI"/>
          <w:color w:val="352F3D"/>
          <w:sz w:val="21"/>
          <w:szCs w:val="21"/>
        </w:rPr>
        <w:t>.</w:t>
      </w:r>
    </w:p>
    <w:p w14:paraId="3B6DAF01" w14:textId="0E1510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Every historic argument </w:t>
      </w:r>
      <w:r w:rsidRPr="00446601">
        <w:rPr>
          <w:rFonts w:ascii="Segoe UI" w:hAnsi="Segoe UI" w:cs="Segoe UI"/>
          <w:i/>
          <w:iCs/>
          <w:color w:val="352F3D"/>
          <w:sz w:val="21"/>
          <w:szCs w:val="21"/>
        </w:rPr>
        <w:t>against the reading advanced her</w:t>
      </w:r>
      <w:r w:rsidR="00446601">
        <w:rPr>
          <w:rFonts w:ascii="Segoe UI" w:hAnsi="Segoe UI" w:cs="Segoe UI"/>
          <w:i/>
          <w:iCs/>
          <w:color w:val="352F3D"/>
          <w:sz w:val="21"/>
          <w:szCs w:val="21"/>
        </w:rPr>
        <w:t>ein</w:t>
      </w:r>
      <w:r>
        <w:rPr>
          <w:rFonts w:ascii="Segoe UI" w:hAnsi="Segoe UI" w:cs="Segoe UI"/>
          <w:color w:val="352F3D"/>
          <w:sz w:val="21"/>
          <w:szCs w:val="21"/>
        </w:rPr>
        <w:t xml:space="preserve"> takes the second answer, though the vocabulary changes by era</w:t>
      </w:r>
      <w:r w:rsidR="00446601">
        <w:rPr>
          <w:rFonts w:ascii="Segoe UI" w:hAnsi="Segoe UI" w:cs="Segoe UI"/>
          <w:color w:val="352F3D"/>
          <w:sz w:val="21"/>
          <w:szCs w:val="21"/>
        </w:rPr>
        <w:t xml:space="preserve"> (e.g. </w:t>
      </w:r>
      <w:r>
        <w:rPr>
          <w:rFonts w:ascii="Segoe UI" w:hAnsi="Segoe UI" w:cs="Segoe UI"/>
          <w:color w:val="352F3D"/>
          <w:sz w:val="21"/>
          <w:szCs w:val="21"/>
        </w:rPr>
        <w:t xml:space="preserve">direct revelation among the Montanists and later the Quakers; demonstrated fruit in nineteenth-century revivalism; reconstructed background or redemptive trajectory </w:t>
      </w:r>
      <w:r w:rsidR="00446601">
        <w:rPr>
          <w:rFonts w:ascii="Segoe UI" w:hAnsi="Segoe UI" w:cs="Segoe UI"/>
          <w:color w:val="352F3D"/>
          <w:sz w:val="21"/>
          <w:szCs w:val="21"/>
        </w:rPr>
        <w:t xml:space="preserve">or even egalitarian ideology </w:t>
      </w:r>
      <w:r>
        <w:rPr>
          <w:rFonts w:ascii="Segoe UI" w:hAnsi="Segoe UI" w:cs="Segoe UI"/>
          <w:color w:val="352F3D"/>
          <w:sz w:val="21"/>
          <w:szCs w:val="21"/>
        </w:rPr>
        <w:t>in modern scholarship</w:t>
      </w:r>
      <w:r w:rsidR="00446601">
        <w:rPr>
          <w:rFonts w:ascii="Segoe UI" w:hAnsi="Segoe UI" w:cs="Segoe UI"/>
          <w:color w:val="352F3D"/>
          <w:sz w:val="21"/>
          <w:szCs w:val="21"/>
        </w:rPr>
        <w:t>)</w:t>
      </w:r>
      <w:r>
        <w:rPr>
          <w:rFonts w:ascii="Segoe UI" w:hAnsi="Segoe UI" w:cs="Segoe UI"/>
          <w:color w:val="352F3D"/>
          <w:sz w:val="21"/>
          <w:szCs w:val="21"/>
        </w:rPr>
        <w:t>.</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1D46B2CF"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446601">
        <w:rPr>
          <w:rFonts w:ascii="Segoe UI" w:hAnsi="Segoe UI" w:cs="Segoe UI"/>
          <w:color w:val="352F3D"/>
          <w:sz w:val="21"/>
          <w:szCs w:val="21"/>
        </w:rPr>
        <w:t xml:space="preserve">(i.e. </w:t>
      </w:r>
      <w:r>
        <w:rPr>
          <w:rFonts w:ascii="Segoe UI" w:hAnsi="Segoe UI" w:cs="Segoe UI"/>
          <w:color w:val="352F3D"/>
          <w:sz w:val="21"/>
          <w:szCs w:val="21"/>
        </w:rPr>
        <w:t>prophetic gifting and spiritual maturity</w:t>
      </w:r>
      <w:r w:rsidR="00446601">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5241A17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A common argument holds that Scripture regulated slavery without condemning it, that the church eventually moved past slavery, and that </w:t>
      </w:r>
      <w:r w:rsidR="00446601">
        <w:rPr>
          <w:rFonts w:ascii="Segoe UI" w:hAnsi="Segoe UI" w:cs="Segoe UI"/>
          <w:color w:val="352F3D"/>
          <w:sz w:val="21"/>
          <w:szCs w:val="21"/>
        </w:rPr>
        <w:t xml:space="preserve">historic </w:t>
      </w:r>
      <w:r>
        <w:rPr>
          <w:rFonts w:ascii="Segoe UI" w:hAnsi="Segoe UI" w:cs="Segoe UI"/>
          <w:color w:val="352F3D"/>
          <w:sz w:val="21"/>
          <w:szCs w:val="21"/>
        </w:rPr>
        <w:t>gender</w:t>
      </w:r>
      <w:r w:rsidR="00446601">
        <w:rPr>
          <w:rFonts w:ascii="Segoe UI" w:hAnsi="Segoe UI" w:cs="Segoe UI"/>
          <w:color w:val="352F3D"/>
          <w:sz w:val="21"/>
          <w:szCs w:val="21"/>
        </w:rPr>
        <w:t xml:space="preserve"> regulation in the church</w:t>
      </w:r>
      <w:r>
        <w:rPr>
          <w:rFonts w:ascii="Segoe UI" w:hAnsi="Segoe UI" w:cs="Segoe UI"/>
          <w:color w:val="352F3D"/>
          <w:sz w:val="21"/>
          <w:szCs w:val="21"/>
        </w:rPr>
        <w:t xml:space="preserve"> follows the same arc.</w:t>
      </w:r>
    </w:p>
    <w:p w14:paraId="1BFBAA8B" w14:textId="597E516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premise is</w:t>
      </w:r>
      <w:r w:rsidR="00446601">
        <w:rPr>
          <w:rFonts w:ascii="Segoe UI" w:hAnsi="Segoe UI" w:cs="Segoe UI"/>
          <w:color w:val="352F3D"/>
          <w:sz w:val="21"/>
          <w:szCs w:val="21"/>
        </w:rPr>
        <w:t xml:space="preserve"> situationally fair</w:t>
      </w:r>
      <w:r>
        <w:rPr>
          <w:rFonts w:ascii="Segoe UI" w:hAnsi="Segoe UI" w:cs="Segoe UI"/>
          <w:color w:val="352F3D"/>
          <w:sz w:val="21"/>
          <w:szCs w:val="21"/>
        </w:rPr>
        <w:t>,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r w:rsidR="00446601">
        <w:rPr>
          <w:rFonts w:ascii="Segoe UI" w:hAnsi="Segoe UI" w:cs="Segoe UI"/>
          <w:color w:val="352F3D"/>
          <w:sz w:val="21"/>
          <w:szCs w:val="21"/>
        </w:rPr>
        <w:t xml:space="preserve"> for change in consideration of slavery</w:t>
      </w:r>
      <w:r>
        <w:rPr>
          <w:rFonts w:ascii="Segoe UI" w:hAnsi="Segoe UI" w:cs="Segoe UI"/>
          <w:color w:val="352F3D"/>
          <w:sz w:val="21"/>
          <w:szCs w:val="21"/>
        </w:rPr>
        <w:t>.</w:t>
      </w:r>
    </w:p>
    <w:p w14:paraId="20CA52BE" w14:textId="709BE45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r w:rsidR="00446601">
        <w:rPr>
          <w:rFonts w:ascii="Segoe UI" w:hAnsi="Segoe UI" w:cs="Segoe UI"/>
          <w:color w:val="352F3D"/>
          <w:sz w:val="21"/>
          <w:szCs w:val="21"/>
        </w:rPr>
        <w:t xml:space="preserve"> on generational </w:t>
      </w:r>
      <w:r w:rsidR="005A197F">
        <w:rPr>
          <w:rFonts w:ascii="Segoe UI" w:hAnsi="Segoe UI" w:cs="Segoe UI"/>
          <w:color w:val="352F3D"/>
          <w:sz w:val="21"/>
          <w:szCs w:val="21"/>
        </w:rPr>
        <w:t>conscience</w:t>
      </w:r>
      <w:r>
        <w:rPr>
          <w:rFonts w:ascii="Segoe UI" w:hAnsi="Segoe UI" w:cs="Segoe UI"/>
          <w:color w:val="352F3D"/>
          <w:sz w:val="21"/>
          <w:szCs w:val="21"/>
        </w:rPr>
        <w:t>.</w:t>
      </w:r>
    </w:p>
    <w:p w14:paraId="0CD4F800" w14:textId="01ACCAE1"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Twice, in two letters, Paul grounds the assembly instruction in the created order (1 Timothy 2:13; 1 Corinthians 11:8–9). </w:t>
      </w:r>
      <w:r w:rsidR="005A197F">
        <w:rPr>
          <w:rFonts w:ascii="Segoe UI" w:hAnsi="Segoe UI" w:cs="Segoe UI"/>
          <w:color w:val="352F3D"/>
          <w:sz w:val="21"/>
          <w:szCs w:val="21"/>
        </w:rPr>
        <w:t xml:space="preserve">This is God’s design. </w:t>
      </w:r>
      <w:r>
        <w:rPr>
          <w:rFonts w:ascii="Segoe UI" w:hAnsi="Segoe UI" w:cs="Segoe UI"/>
          <w:color w:val="352F3D"/>
          <w:sz w:val="21"/>
          <w:szCs w:val="21"/>
        </w:rPr>
        <w:t>The feature that made slavery movable is precisely the feature this instruction has that slavery lacked.</w:t>
      </w:r>
    </w:p>
    <w:p w14:paraId="613ADB95" w14:textId="77777777" w:rsidR="00A94C8F" w:rsidRDefault="007C250C" w:rsidP="00A94C8F">
      <w:pPr>
        <w:rPr>
          <w:rFonts w:ascii="Segoe UI" w:hAnsi="Segoe UI" w:cs="Segoe UI"/>
          <w:sz w:val="21"/>
          <w:szCs w:val="21"/>
        </w:rPr>
      </w:pPr>
      <w:r>
        <w:pict w14:anchorId="78522664">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07239360"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5A197F">
        <w:rPr>
          <w:rFonts w:ascii="Segoe UI" w:hAnsi="Segoe UI" w:cs="Segoe UI"/>
          <w:color w:val="352F3D"/>
          <w:sz w:val="21"/>
          <w:szCs w:val="21"/>
        </w:rPr>
        <w:t xml:space="preserve">(i.e. </w:t>
      </w:r>
      <w:r>
        <w:rPr>
          <w:rFonts w:ascii="Segoe UI" w:hAnsi="Segoe UI" w:cs="Segoe UI"/>
          <w:color w:val="352F3D"/>
          <w:sz w:val="21"/>
          <w:szCs w:val="21"/>
        </w:rPr>
        <w:t>they anoint women at baptism and instruct them afterward, though a man pronounces the invocation over the water</w:t>
      </w:r>
      <w:r w:rsidR="005A197F">
        <w:rPr>
          <w:rFonts w:ascii="Segoe UI" w:hAnsi="Segoe UI" w:cs="Segoe UI"/>
          <w:color w:val="352F3D"/>
          <w:sz w:val="21"/>
          <w:szCs w:val="21"/>
        </w:rPr>
        <w:t>)</w:t>
      </w:r>
      <w:r>
        <w:rPr>
          <w:rFonts w:ascii="Segoe UI" w:hAnsi="Segoe UI" w:cs="Segoe UI"/>
          <w:color w:val="352F3D"/>
          <w:sz w:val="21"/>
          <w:szCs w:val="21"/>
        </w:rPr>
        <w:t>.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3F510B0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5A197F">
        <w:rPr>
          <w:rFonts w:ascii="Segoe UI" w:hAnsi="Segoe UI" w:cs="Segoe UI"/>
          <w:color w:val="352F3D"/>
          <w:sz w:val="21"/>
          <w:szCs w:val="21"/>
        </w:rPr>
        <w:t xml:space="preserve">(e.g. </w:t>
      </w:r>
      <w:r>
        <w:rPr>
          <w:rFonts w:ascii="Segoe UI" w:hAnsi="Segoe UI" w:cs="Segoe UI"/>
          <w:color w:val="352F3D"/>
          <w:sz w:val="21"/>
          <w:szCs w:val="21"/>
        </w:rPr>
        <w:t>Tertullian is arguing, which means North African congregations were permitting what he opposed</w:t>
      </w:r>
      <w:r w:rsidR="005A197F">
        <w:rPr>
          <w:rFonts w:ascii="Segoe UI" w:hAnsi="Segoe UI" w:cs="Segoe UI"/>
          <w:color w:val="352F3D"/>
          <w:sz w:val="21"/>
          <w:szCs w:val="21"/>
        </w:rPr>
        <w:t>)</w:t>
      </w:r>
      <w:r>
        <w:rPr>
          <w:rFonts w:ascii="Segoe UI" w:hAnsi="Segoe UI" w:cs="Segoe UI"/>
          <w:color w:val="352F3D"/>
          <w:sz w:val="21"/>
          <w:szCs w:val="21"/>
        </w:rPr>
        <w:t>.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7C250C" w:rsidP="00A94C8F">
      <w:pPr>
        <w:rPr>
          <w:rFonts w:ascii="Segoe UI" w:hAnsi="Segoe UI" w:cs="Segoe UI"/>
          <w:sz w:val="21"/>
          <w:szCs w:val="21"/>
        </w:rPr>
      </w:pPr>
      <w:r>
        <w:pict w14:anchorId="239EBBFB">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732365C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5A197F">
        <w:rPr>
          <w:rFonts w:ascii="Segoe UI" w:hAnsi="Segoe UI" w:cs="Segoe UI"/>
          <w:color w:val="352F3D"/>
          <w:sz w:val="21"/>
          <w:szCs w:val="21"/>
        </w:rPr>
        <w:t xml:space="preserve">(i.e. </w:t>
      </w:r>
      <w:r>
        <w:rPr>
          <w:rFonts w:ascii="Segoe UI" w:hAnsi="Segoe UI" w:cs="Segoe UI"/>
          <w:color w:val="352F3D"/>
          <w:sz w:val="21"/>
          <w:szCs w:val="21"/>
        </w:rPr>
        <w:t>a strong ally, not an assistant</w:t>
      </w:r>
      <w:r w:rsidR="005A197F">
        <w:rPr>
          <w:rFonts w:ascii="Segoe UI" w:hAnsi="Segoe UI" w:cs="Segoe UI"/>
          <w:color w:val="352F3D"/>
          <w:sz w:val="21"/>
          <w:szCs w:val="21"/>
        </w:rPr>
        <w:t>)</w:t>
      </w:r>
      <w:r>
        <w:rPr>
          <w:rFonts w:ascii="Segoe UI" w:hAnsi="Segoe UI" w:cs="Segoe UI"/>
          <w:color w:val="352F3D"/>
          <w:sz w:val="21"/>
          <w:szCs w:val="21"/>
        </w:rPr>
        <w:t>. God's design is ordered unity, shared dominion, relational harmony, and communion with Himself.</w:t>
      </w:r>
    </w:p>
    <w:p w14:paraId="2C76D824" w14:textId="1F04477F"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w:t>
      </w:r>
      <w:r w:rsidR="005A197F">
        <w:rPr>
          <w:rFonts w:ascii="Segoe UI" w:hAnsi="Segoe UI" w:cs="Segoe UI"/>
          <w:color w:val="352F3D"/>
          <w:sz w:val="21"/>
          <w:szCs w:val="21"/>
        </w:rPr>
        <w:t xml:space="preserve">…, </w:t>
      </w:r>
      <w:r>
        <w:rPr>
          <w:rFonts w:ascii="Segoe UI" w:hAnsi="Segoe UI" w:cs="Segoe UI"/>
          <w:color w:val="352F3D"/>
          <w:sz w:val="21"/>
          <w:szCs w:val="21"/>
        </w:rPr>
        <w:t>a creature steps outside an assigned place, autonomy replaces trust, order collapses, relationship fractures.</w:t>
      </w:r>
    </w:p>
    <w:p w14:paraId="664EB651" w14:textId="2C0BE4A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redemption</w:t>
      </w:r>
      <w:r>
        <w:rPr>
          <w:rFonts w:ascii="Segoe UI" w:hAnsi="Segoe UI" w:cs="Segoe UI"/>
          <w:color w:val="352F3D"/>
          <w:sz w:val="21"/>
          <w:szCs w:val="21"/>
        </w:rPr>
        <w:t>, God does not abolish order. He restores it. He does not flatten distinction</w:t>
      </w:r>
      <w:r w:rsidR="005A197F">
        <w:rPr>
          <w:rFonts w:ascii="Segoe UI" w:hAnsi="Segoe UI" w:cs="Segoe UI"/>
          <w:color w:val="352F3D"/>
          <w:sz w:val="21"/>
          <w:szCs w:val="21"/>
        </w:rPr>
        <w:t xml:space="preserve">. </w:t>
      </w:r>
      <w:r>
        <w:rPr>
          <w:rFonts w:ascii="Segoe UI" w:hAnsi="Segoe UI" w:cs="Segoe UI"/>
          <w:color w:val="352F3D"/>
          <w:sz w:val="21"/>
          <w:szCs w:val="21"/>
        </w:rPr>
        <w:t>He heals it. Christ is the last Adam, the head of the church, the obedient Son who does not grasp autonomy (Philippians 2) but submits to the Father, and through ordered obedience restores communion.</w:t>
      </w:r>
    </w:p>
    <w:p w14:paraId="74B53F14" w14:textId="74E8A4F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5A197F">
        <w:rPr>
          <w:rFonts w:ascii="Segoe UI" w:hAnsi="Segoe UI" w:cs="Segoe UI"/>
          <w:color w:val="352F3D"/>
          <w:sz w:val="21"/>
          <w:szCs w:val="21"/>
        </w:rPr>
        <w:t xml:space="preserve">(i.e. </w:t>
      </w:r>
      <w:r>
        <w:rPr>
          <w:rFonts w:ascii="Segoe UI" w:hAnsi="Segoe UI" w:cs="Segoe UI"/>
          <w:color w:val="352F3D"/>
          <w:sz w:val="21"/>
          <w:szCs w:val="21"/>
        </w:rPr>
        <w:t>not corporation, not competitive platform</w:t>
      </w:r>
      <w:r w:rsidR="005A197F">
        <w:rPr>
          <w:rFonts w:ascii="Segoe UI" w:hAnsi="Segoe UI" w:cs="Segoe UI"/>
          <w:color w:val="352F3D"/>
          <w:sz w:val="21"/>
          <w:szCs w:val="21"/>
        </w:rPr>
        <w:t>)</w:t>
      </w:r>
      <w:r>
        <w:rPr>
          <w:rFonts w:ascii="Segoe UI" w:hAnsi="Segoe UI" w:cs="Segoe UI"/>
          <w:color w:val="352F3D"/>
          <w:sz w:val="21"/>
          <w:szCs w:val="21"/>
        </w:rPr>
        <w:t>. In a family, authority exists, love governs it, sacrifice defines it, and flourishing is shared.</w:t>
      </w:r>
    </w:p>
    <w:p w14:paraId="6841D38E" w14:textId="74FE1545" w:rsidR="00A94C8F" w:rsidRPr="00DC1DB0" w:rsidRDefault="00B403DA" w:rsidP="00A94C8F">
      <w:pPr>
        <w:pStyle w:val="code-line"/>
        <w:spacing w:before="0" w:beforeAutospacing="0" w:after="240" w:afterAutospacing="0"/>
        <w:rPr>
          <w:rFonts w:ascii="Segoe UI" w:hAnsi="Segoe UI" w:cs="Segoe UI"/>
          <w:i/>
          <w:iCs/>
          <w:color w:val="352F3D"/>
          <w:sz w:val="21"/>
          <w:szCs w:val="21"/>
        </w:rPr>
      </w:pPr>
      <w:r w:rsidRPr="00DC1DB0">
        <w:rPr>
          <w:rFonts w:ascii="Segoe UI" w:hAnsi="Segoe UI" w:cs="Segoe UI"/>
          <w:i/>
          <w:iCs/>
          <w:color w:val="352F3D"/>
          <w:sz w:val="21"/>
          <w:szCs w:val="21"/>
        </w:rPr>
        <w:t>So,</w:t>
      </w:r>
      <w:r w:rsidR="00A94C8F" w:rsidRPr="00DC1DB0">
        <w:rPr>
          <w:rFonts w:ascii="Segoe UI" w:hAnsi="Segoe UI" w:cs="Segoe UI"/>
          <w:i/>
          <w:iCs/>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xml:space="preserve"> The end of Scripture is not hierarchy. It is family dwelling with God: </w:t>
      </w:r>
      <w:r w:rsidRPr="005A197F">
        <w:rPr>
          <w:rFonts w:ascii="Segoe UI" w:hAnsi="Segoe UI" w:cs="Segoe UI"/>
          <w:i/>
          <w:iCs/>
          <w:color w:val="352F3D"/>
          <w:sz w:val="21"/>
          <w:szCs w:val="21"/>
        </w:rPr>
        <w:t>"Look! The residence of God is among human beings"</w:t>
      </w:r>
      <w:r>
        <w:rPr>
          <w:rFonts w:ascii="Segoe UI" w:hAnsi="Segoe UI" w:cs="Segoe UI"/>
          <w:color w:val="352F3D"/>
          <w:sz w:val="21"/>
          <w:szCs w:val="21"/>
        </w:rPr>
        <w:t xml:space="preserve">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7C250C" w:rsidP="00A94C8F">
      <w:pPr>
        <w:rPr>
          <w:rFonts w:ascii="Segoe UI" w:hAnsi="Segoe UI" w:cs="Segoe UI"/>
          <w:sz w:val="21"/>
          <w:szCs w:val="21"/>
        </w:rPr>
      </w:pPr>
      <w:r>
        <w:pict w14:anchorId="582CAF31">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26391E3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fails on two grounds</w:t>
      </w:r>
      <w:r w:rsidR="005A197F">
        <w:rPr>
          <w:rFonts w:ascii="Segoe UI" w:hAnsi="Segoe UI" w:cs="Segoe UI"/>
          <w:color w:val="352F3D"/>
          <w:sz w:val="21"/>
          <w:szCs w:val="21"/>
        </w:rPr>
        <w:t xml:space="preserve">…, </w:t>
      </w:r>
      <w:r>
        <w:rPr>
          <w:rFonts w:ascii="Segoe UI" w:hAnsi="Segoe UI" w:cs="Segoe UI"/>
          <w:color w:val="352F3D"/>
          <w:sz w:val="21"/>
          <w:szCs w:val="21"/>
        </w:rPr>
        <w:t>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520F3585"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5A197F">
        <w:rPr>
          <w:rFonts w:ascii="Segoe UI" w:hAnsi="Segoe UI" w:cs="Segoe UI"/>
          <w:color w:val="352F3D"/>
          <w:sz w:val="21"/>
          <w:szCs w:val="21"/>
        </w:rPr>
        <w:t xml:space="preserve">(i.e. </w:t>
      </w:r>
      <w:r>
        <w:rPr>
          <w:rFonts w:ascii="Segoe UI" w:hAnsi="Segoe UI" w:cs="Segoe UI"/>
          <w:color w:val="352F3D"/>
          <w:sz w:val="21"/>
          <w:szCs w:val="21"/>
        </w:rPr>
        <w:t>prophesying versus authoritative evaluation</w:t>
      </w:r>
      <w:r w:rsidR="005A197F">
        <w:rPr>
          <w:rFonts w:ascii="Segoe UI" w:hAnsi="Segoe UI" w:cs="Segoe UI"/>
          <w:color w:val="352F3D"/>
          <w:sz w:val="21"/>
          <w:szCs w:val="21"/>
        </w:rPr>
        <w:t xml:space="preserve">) </w:t>
      </w:r>
      <w:r>
        <w:rPr>
          <w:rFonts w:ascii="Segoe UI" w:hAnsi="Segoe UI" w:cs="Segoe UI"/>
          <w:color w:val="352F3D"/>
          <w:sz w:val="21"/>
          <w:szCs w:val="21"/>
        </w:rPr>
        <w:t>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4A50A7D2"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w:t>
      </w:r>
      <w:r w:rsidR="00DC1DB0">
        <w:rPr>
          <w:rFonts w:ascii="Segoe UI" w:hAnsi="Segoe UI" w:cs="Segoe UI"/>
          <w:color w:val="352F3D"/>
          <w:sz w:val="21"/>
          <w:szCs w:val="21"/>
        </w:rPr>
        <w:t xml:space="preserve">explicit </w:t>
      </w:r>
      <w:r>
        <w:rPr>
          <w:rFonts w:ascii="Segoe UI" w:hAnsi="Segoe UI" w:cs="Segoe UI"/>
          <w:color w:val="352F3D"/>
          <w:sz w:val="21"/>
          <w:szCs w:val="21"/>
        </w:rPr>
        <w:t xml:space="preserve">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7C250C" w:rsidP="00A94C8F">
      <w:pPr>
        <w:rPr>
          <w:rFonts w:ascii="Segoe UI" w:hAnsi="Segoe UI" w:cs="Segoe UI"/>
          <w:sz w:val="21"/>
          <w:szCs w:val="21"/>
        </w:rPr>
      </w:pPr>
      <w:r>
        <w:pict w14:anchorId="5B85CB56">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7"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8"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9"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1"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xml:space="preserve">, 3rd ed., ed. Köstenberger and Thomas R. Schreiner (Crossway, 2016), 117–62. A. L. Bowman, "Women in Ministry: </w:t>
      </w:r>
      <w:r>
        <w:rPr>
          <w:rFonts w:ascii="Segoe UI" w:hAnsi="Segoe UI" w:cs="Segoe UI"/>
          <w:color w:val="352F3D"/>
          <w:sz w:val="21"/>
          <w:szCs w:val="21"/>
        </w:rPr>
        <w:lastRenderedPageBreak/>
        <w:t>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t>Representative opposing views.</w:t>
      </w:r>
      <w:r>
        <w:rPr>
          <w:rFonts w:ascii="Segoe UI" w:hAnsi="Segoe UI" w:cs="Segoe UI"/>
          <w:color w:val="352F3D"/>
          <w:sz w:val="21"/>
          <w:szCs w:val="21"/>
        </w:rPr>
        <w:t> Philip B. Payne on the syntax of 1 Timothy 2:12. Margaret Mowczko, "1 Tim 2:12 and Authentein" (</w:t>
      </w:r>
      <w:hyperlink r:id="rId12"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3"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4"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5"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00467239" w:rsidR="00A94C8F" w:rsidRDefault="00B57C66" w:rsidP="00A94C8F">
      <w:pPr>
        <w:pStyle w:val="code-line"/>
        <w:spacing w:before="0" w:beforeAutospacing="0" w:after="240" w:afterAutospacing="0"/>
        <w:rPr>
          <w:rFonts w:ascii="Segoe UI" w:hAnsi="Segoe UI" w:cs="Segoe UI"/>
          <w:color w:val="352F3D"/>
          <w:sz w:val="21"/>
          <w:szCs w:val="21"/>
        </w:rPr>
      </w:pPr>
      <w:r w:rsidRPr="00B57C66">
        <w:rPr>
          <w:rFonts w:ascii="Segoe UI" w:hAnsi="Segoe UI" w:cs="Segoe UI"/>
          <w:b/>
          <w:bCs/>
          <w:color w:val="352F3D"/>
          <w:sz w:val="21"/>
          <w:szCs w:val="21"/>
        </w:rPr>
        <w:t>The Great Feminization</w:t>
      </w:r>
      <w:r>
        <w:rPr>
          <w:rFonts w:ascii="Segoe UI" w:hAnsi="Segoe UI" w:cs="Segoe UI"/>
          <w:color w:val="352F3D"/>
          <w:sz w:val="21"/>
          <w:szCs w:val="21"/>
        </w:rPr>
        <w:t>.  An analysis of modern societal trends toward a plurality of females within traditionally male institutions.  (</w:t>
      </w:r>
      <w:hyperlink r:id="rId16" w:history="1">
        <w:r w:rsidRPr="00B57C66">
          <w:rPr>
            <w:rStyle w:val="Hyperlink"/>
            <w:rFonts w:ascii="Segoe UI" w:hAnsi="Segoe UI" w:cs="Segoe UI"/>
            <w:sz w:val="21"/>
            <w:szCs w:val="21"/>
          </w:rPr>
          <w:t>https://</w:t>
        </w:r>
        <w:r w:rsidRPr="00B57C66">
          <w:rPr>
            <w:rStyle w:val="Hyperlink"/>
            <w:rFonts w:ascii="Segoe UI" w:hAnsi="Segoe UI" w:cs="Segoe UI"/>
            <w:sz w:val="21"/>
            <w:szCs w:val="21"/>
          </w:rPr>
          <w:t>tinyurl.com/TeachTheWord</w:t>
        </w:r>
        <w:r w:rsidRPr="00B57C66">
          <w:rPr>
            <w:rStyle w:val="Hyperlink"/>
            <w:rFonts w:ascii="Segoe UI" w:hAnsi="Segoe UI" w:cs="Segoe UI"/>
            <w:sz w:val="21"/>
            <w:szCs w:val="21"/>
          </w:rPr>
          <w:t>/2026-Q1/Resources/TheGreatFemIntro.pdf</w:t>
        </w:r>
      </w:hyperlink>
      <w:r>
        <w:rPr>
          <w:rFonts w:ascii="Segoe UI" w:hAnsi="Segoe UI" w:cs="Segoe UI"/>
          <w:color w:val="352F3D"/>
          <w:sz w:val="21"/>
          <w:szCs w:val="21"/>
        </w:rPr>
        <w:t>)</w:t>
      </w:r>
    </w:p>
    <w:sectPr w:rsidR="00A94C8F" w:rsidSect="000E1AC1">
      <w:headerReference w:type="even" r:id="rId17"/>
      <w:headerReference w:type="default" r:id="rId18"/>
      <w:footerReference w:type="even" r:id="rId19"/>
      <w:footerReference w:type="default" r:id="rId20"/>
      <w:headerReference w:type="first" r:id="rId21"/>
      <w:footerReference w:type="first" r:id="rId22"/>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5F0D2E" w14:textId="77777777" w:rsidR="007C250C" w:rsidRDefault="007C250C" w:rsidP="00CC7355">
      <w:pPr>
        <w:spacing w:after="0" w:line="240" w:lineRule="auto"/>
      </w:pPr>
      <w:r>
        <w:separator/>
      </w:r>
    </w:p>
  </w:endnote>
  <w:endnote w:type="continuationSeparator" w:id="0">
    <w:p w14:paraId="351AB29C" w14:textId="77777777" w:rsidR="007C250C" w:rsidRDefault="007C250C"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21E9CD" w14:textId="77777777" w:rsidR="007C250C" w:rsidRDefault="007C250C" w:rsidP="00CC7355">
      <w:pPr>
        <w:spacing w:after="0" w:line="240" w:lineRule="auto"/>
      </w:pPr>
      <w:r>
        <w:separator/>
      </w:r>
    </w:p>
  </w:footnote>
  <w:footnote w:type="continuationSeparator" w:id="0">
    <w:p w14:paraId="2AFECBE9" w14:textId="77777777" w:rsidR="007C250C" w:rsidRDefault="007C250C"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321"/>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61BC9"/>
    <w:rsid w:val="00194213"/>
    <w:rsid w:val="001A7A06"/>
    <w:rsid w:val="001B4436"/>
    <w:rsid w:val="001C0A27"/>
    <w:rsid w:val="001D1438"/>
    <w:rsid w:val="00202124"/>
    <w:rsid w:val="00204ECB"/>
    <w:rsid w:val="00261922"/>
    <w:rsid w:val="0029069A"/>
    <w:rsid w:val="002964E1"/>
    <w:rsid w:val="00314084"/>
    <w:rsid w:val="00321871"/>
    <w:rsid w:val="00325235"/>
    <w:rsid w:val="00346D6C"/>
    <w:rsid w:val="00372881"/>
    <w:rsid w:val="004041F7"/>
    <w:rsid w:val="00445383"/>
    <w:rsid w:val="00446601"/>
    <w:rsid w:val="00477489"/>
    <w:rsid w:val="004903FD"/>
    <w:rsid w:val="00495A07"/>
    <w:rsid w:val="004C5DD3"/>
    <w:rsid w:val="004E4699"/>
    <w:rsid w:val="00510A5E"/>
    <w:rsid w:val="00587724"/>
    <w:rsid w:val="00596A8F"/>
    <w:rsid w:val="005A197F"/>
    <w:rsid w:val="005D562B"/>
    <w:rsid w:val="005E7A4F"/>
    <w:rsid w:val="006100FE"/>
    <w:rsid w:val="00611331"/>
    <w:rsid w:val="00623004"/>
    <w:rsid w:val="00635C6F"/>
    <w:rsid w:val="00636FE4"/>
    <w:rsid w:val="00642A63"/>
    <w:rsid w:val="00644255"/>
    <w:rsid w:val="006474A5"/>
    <w:rsid w:val="00654F6E"/>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250C"/>
    <w:rsid w:val="007C4FA7"/>
    <w:rsid w:val="007D5A88"/>
    <w:rsid w:val="007F263E"/>
    <w:rsid w:val="007F395A"/>
    <w:rsid w:val="008265C9"/>
    <w:rsid w:val="00852949"/>
    <w:rsid w:val="00856182"/>
    <w:rsid w:val="008678FC"/>
    <w:rsid w:val="008B7976"/>
    <w:rsid w:val="008D1E6A"/>
    <w:rsid w:val="008E3705"/>
    <w:rsid w:val="00931DFF"/>
    <w:rsid w:val="00963B56"/>
    <w:rsid w:val="009756B9"/>
    <w:rsid w:val="00980A94"/>
    <w:rsid w:val="00980AA3"/>
    <w:rsid w:val="009A4455"/>
    <w:rsid w:val="009A64F8"/>
    <w:rsid w:val="009B4703"/>
    <w:rsid w:val="009D3E26"/>
    <w:rsid w:val="00A20367"/>
    <w:rsid w:val="00A31E82"/>
    <w:rsid w:val="00A34305"/>
    <w:rsid w:val="00A41CD2"/>
    <w:rsid w:val="00A553DD"/>
    <w:rsid w:val="00A566C2"/>
    <w:rsid w:val="00A65202"/>
    <w:rsid w:val="00A876A6"/>
    <w:rsid w:val="00A94C8F"/>
    <w:rsid w:val="00AB2CC5"/>
    <w:rsid w:val="00AE267D"/>
    <w:rsid w:val="00AF5FCE"/>
    <w:rsid w:val="00B01A07"/>
    <w:rsid w:val="00B24CEB"/>
    <w:rsid w:val="00B403DA"/>
    <w:rsid w:val="00B440E9"/>
    <w:rsid w:val="00B57C66"/>
    <w:rsid w:val="00B84D11"/>
    <w:rsid w:val="00B9026E"/>
    <w:rsid w:val="00B97F6A"/>
    <w:rsid w:val="00C00744"/>
    <w:rsid w:val="00C07B7B"/>
    <w:rsid w:val="00C46208"/>
    <w:rsid w:val="00C46992"/>
    <w:rsid w:val="00C56D96"/>
    <w:rsid w:val="00C75D40"/>
    <w:rsid w:val="00CA34AD"/>
    <w:rsid w:val="00CA6CB8"/>
    <w:rsid w:val="00CC0F49"/>
    <w:rsid w:val="00CC7355"/>
    <w:rsid w:val="00CD0CCE"/>
    <w:rsid w:val="00CD601F"/>
    <w:rsid w:val="00D4277D"/>
    <w:rsid w:val="00D55152"/>
    <w:rsid w:val="00D750C9"/>
    <w:rsid w:val="00D9415D"/>
    <w:rsid w:val="00DC1DB0"/>
    <w:rsid w:val="00E10437"/>
    <w:rsid w:val="00E32088"/>
    <w:rsid w:val="00E64704"/>
    <w:rsid w:val="00E6585D"/>
    <w:rsid w:val="00E72701"/>
    <w:rsid w:val="00E84811"/>
    <w:rsid w:val="00EE1EAF"/>
    <w:rsid w:val="00EF3808"/>
    <w:rsid w:val="00F151AC"/>
    <w:rsid w:val="00F469B8"/>
    <w:rsid w:val="00F50D34"/>
    <w:rsid w:val="00F56DFE"/>
    <w:rsid w:val="00F67147"/>
    <w:rsid w:val="00F675D5"/>
    <w:rsid w:val="00F70CAD"/>
    <w:rsid w:val="00F734FC"/>
    <w:rsid w:val="00F8122D"/>
    <w:rsid w:val="00F82153"/>
    <w:rsid w:val="00F8404E"/>
    <w:rsid w:val="00F8654E"/>
    <w:rsid w:val="00FC1AE3"/>
    <w:rsid w:val="00FF184E"/>
    <w:rsid w:val="00FF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letterbible.org/tools/interlinear/mgnt/1ti/2/12/" TargetMode="External"/><Relationship Id="rId13" Type="http://schemas.openxmlformats.org/officeDocument/2006/relationships/hyperlink" Target="https://johnmarkhicks.com/2021/03/15/fourteen-questions-about-and-eleven-interpretations-of-1-timothy-212/"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https://netbible.org" TargetMode="External"/><Relationship Id="rId12" Type="http://schemas.openxmlformats.org/officeDocument/2006/relationships/hyperlink" Target="https://michaelfbird.substack.com/p/1-tim-212-and-authentein"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tinyurl.com/TeachTheWord/2026-Q1/Resources/TheGreatFemIntro.pdf"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omendeacons.org/didascalia-apostolorum/"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youtube.com/watch?v=PFwvdeUjt5s" TargetMode="External"/><Relationship Id="rId23" Type="http://schemas.openxmlformats.org/officeDocument/2006/relationships/fontTable" Target="fontTable.xml"/><Relationship Id="rId10" Type="http://schemas.openxmlformats.org/officeDocument/2006/relationships/hyperlink" Target="https://www.newadvent.org/fathers/0321.ht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newadvent.org/fathers/0403.htm" TargetMode="External"/><Relationship Id="rId14" Type="http://schemas.openxmlformats.org/officeDocument/2006/relationships/hyperlink" Target="https://uasvbible.org/2025/04/24/feminism-and-the-bible-an-analysis-of-feminist-theologys-reinterpretation-of-christian-doctrine-and-authority/"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6049</Words>
  <Characters>29339</Characters>
  <Application>Microsoft Office Word</Application>
  <DocSecurity>0</DocSecurity>
  <Lines>553</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4</cp:revision>
  <cp:lastPrinted>2026-04-26T12:42:00Z</cp:lastPrinted>
  <dcterms:created xsi:type="dcterms:W3CDTF">2026-08-19T16:58:00Z</dcterms:created>
  <dcterms:modified xsi:type="dcterms:W3CDTF">2026-08-19T17:01:00Z</dcterms:modified>
</cp:coreProperties>
</file>