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B6BBF" w14:textId="1E553461" w:rsidR="005E7A4F" w:rsidRPr="001F682F" w:rsidRDefault="005E7A4F" w:rsidP="005E7A4F">
      <w:pPr>
        <w:pStyle w:val="Title"/>
        <w:rPr>
          <w:rFonts w:asciiTheme="minorHAnsi" w:hAnsiTheme="minorHAnsi"/>
        </w:rPr>
      </w:pPr>
      <w:r>
        <w:rPr>
          <w:rFonts w:asciiTheme="minorHAnsi" w:hAnsiTheme="minorHAnsi"/>
        </w:rPr>
        <w:t>Yet another analysis of 1 Timothy 2:8-15</w:t>
      </w:r>
    </w:p>
    <w:p w14:paraId="254145B8" w14:textId="77777777" w:rsidR="005E7A4F" w:rsidRPr="001F682F" w:rsidRDefault="005E7A4F" w:rsidP="005E7A4F"/>
    <w:p w14:paraId="541C7AAF" w14:textId="32722D52" w:rsidR="005E7A4F" w:rsidRPr="001F682F" w:rsidRDefault="005E7A4F" w:rsidP="005E7A4F">
      <w:pPr>
        <w:pStyle w:val="Subtitle"/>
        <w:jc w:val="center"/>
      </w:pPr>
      <w:r>
        <w:t>1/31/2026</w:t>
      </w:r>
    </w:p>
    <w:p w14:paraId="639B796B" w14:textId="77777777" w:rsidR="005E7A4F" w:rsidRPr="001F682F" w:rsidRDefault="005E7A4F" w:rsidP="005E7A4F"/>
    <w:p w14:paraId="5E8DE2A6" w14:textId="77777777" w:rsidR="005E7A4F" w:rsidRDefault="005E7A4F" w:rsidP="005E7A4F">
      <w:pPr>
        <w:pStyle w:val="BODY"/>
        <w:widowControl w:val="0"/>
        <w:spacing w:before="80" w:after="80"/>
        <w:ind w:left="80" w:right="80"/>
        <w:rPr>
          <w:rFonts w:asciiTheme="minorHAnsi" w:hAnsiTheme="minorHAnsi"/>
          <w:lang w:eastAsia="x-none"/>
        </w:rPr>
      </w:pPr>
      <w:r w:rsidRPr="001F682F">
        <w:rPr>
          <w:rFonts w:asciiTheme="minorHAnsi" w:hAnsiTheme="minorHAnsi"/>
          <w:color w:val="218282"/>
          <w:lang w:eastAsia="x-none"/>
        </w:rPr>
        <w:t>1 Timothy 2:8-15</w:t>
      </w:r>
      <w:r w:rsidRPr="001F682F">
        <w:rPr>
          <w:rFonts w:asciiTheme="minorHAnsi" w:hAnsiTheme="minorHAnsi"/>
          <w:lang w:eastAsia="x-none"/>
        </w:rPr>
        <w:t>  I desire therefore that the men pray everywhere, lifting up holy hands, without wrath and doubting;  </w:t>
      </w:r>
      <w:r w:rsidRPr="001F682F">
        <w:rPr>
          <w:rFonts w:asciiTheme="minorHAnsi" w:hAnsiTheme="minorHAnsi"/>
          <w:color w:val="218282"/>
          <w:lang w:eastAsia="x-none"/>
        </w:rPr>
        <w:t>(9)</w:t>
      </w:r>
      <w:r w:rsidRPr="001F682F">
        <w:rPr>
          <w:rFonts w:asciiTheme="minorHAnsi" w:hAnsiTheme="minorHAnsi"/>
          <w:lang w:eastAsia="x-none"/>
        </w:rPr>
        <w:t>  in like manner also, that the women adorn themselves in modest apparel, with propriety and moderation, not with braided hair or gold or pearls or costly clothing,  </w:t>
      </w:r>
      <w:r w:rsidRPr="001F682F">
        <w:rPr>
          <w:rFonts w:asciiTheme="minorHAnsi" w:hAnsiTheme="minorHAnsi"/>
          <w:color w:val="218282"/>
          <w:lang w:eastAsia="x-none"/>
        </w:rPr>
        <w:t>(10)</w:t>
      </w:r>
      <w:r w:rsidRPr="001F682F">
        <w:rPr>
          <w:rFonts w:asciiTheme="minorHAnsi" w:hAnsiTheme="minorHAnsi"/>
          <w:lang w:eastAsia="x-none"/>
        </w:rPr>
        <w:t>  but, which is proper for women professing godliness, with good works.  </w:t>
      </w:r>
      <w:r w:rsidRPr="001F682F">
        <w:rPr>
          <w:rFonts w:asciiTheme="minorHAnsi" w:hAnsiTheme="minorHAnsi"/>
          <w:color w:val="218282"/>
          <w:lang w:eastAsia="x-none"/>
        </w:rPr>
        <w:t>(11)</w:t>
      </w:r>
      <w:r w:rsidRPr="001F682F">
        <w:rPr>
          <w:rFonts w:asciiTheme="minorHAnsi" w:hAnsiTheme="minorHAnsi"/>
          <w:lang w:eastAsia="x-none"/>
        </w:rPr>
        <w:t>  Let a woman learn in silence with all submission.  </w:t>
      </w:r>
      <w:r w:rsidRPr="001F682F">
        <w:rPr>
          <w:rFonts w:asciiTheme="minorHAnsi" w:hAnsiTheme="minorHAnsi"/>
          <w:color w:val="218282"/>
          <w:lang w:eastAsia="x-none"/>
        </w:rPr>
        <w:t>(12)</w:t>
      </w:r>
      <w:r w:rsidRPr="001F682F">
        <w:rPr>
          <w:rFonts w:asciiTheme="minorHAnsi" w:hAnsiTheme="minorHAnsi"/>
          <w:lang w:eastAsia="x-none"/>
        </w:rPr>
        <w:t>  And I do not permit a woman to teach or to have authority over a man, but to be in silence.  </w:t>
      </w:r>
      <w:r w:rsidRPr="001F682F">
        <w:rPr>
          <w:rFonts w:asciiTheme="minorHAnsi" w:hAnsiTheme="minorHAnsi"/>
          <w:color w:val="218282"/>
          <w:lang w:eastAsia="x-none"/>
        </w:rPr>
        <w:t>(13)</w:t>
      </w:r>
      <w:r w:rsidRPr="001F682F">
        <w:rPr>
          <w:rFonts w:asciiTheme="minorHAnsi" w:hAnsiTheme="minorHAnsi"/>
          <w:lang w:eastAsia="x-none"/>
        </w:rPr>
        <w:t>  For Adam was formed first, then Eve.  </w:t>
      </w:r>
      <w:r w:rsidRPr="001F682F">
        <w:rPr>
          <w:rFonts w:asciiTheme="minorHAnsi" w:hAnsiTheme="minorHAnsi"/>
          <w:color w:val="218282"/>
          <w:lang w:eastAsia="x-none"/>
        </w:rPr>
        <w:t>(14)</w:t>
      </w:r>
      <w:r w:rsidRPr="001F682F">
        <w:rPr>
          <w:rFonts w:asciiTheme="minorHAnsi" w:hAnsiTheme="minorHAnsi"/>
          <w:lang w:eastAsia="x-none"/>
        </w:rPr>
        <w:t>  And Adam was not deceived, but the woman being deceived, fell into transgression.  </w:t>
      </w:r>
      <w:r w:rsidRPr="001F682F">
        <w:rPr>
          <w:rFonts w:asciiTheme="minorHAnsi" w:hAnsiTheme="minorHAnsi"/>
          <w:color w:val="218282"/>
          <w:lang w:eastAsia="x-none"/>
        </w:rPr>
        <w:t>(15)</w:t>
      </w:r>
      <w:r w:rsidRPr="001F682F">
        <w:rPr>
          <w:rFonts w:asciiTheme="minorHAnsi" w:hAnsiTheme="minorHAnsi"/>
          <w:lang w:eastAsia="x-none"/>
        </w:rPr>
        <w:t>  Nevertheless she will be saved in childbearing if they continue in faith, love, and holiness, with self-control.</w:t>
      </w:r>
    </w:p>
    <w:p w14:paraId="7E0CE977" w14:textId="77777777" w:rsidR="00AE267D" w:rsidRPr="001F682F" w:rsidRDefault="00AE267D" w:rsidP="005E7A4F">
      <w:pPr>
        <w:pStyle w:val="BODY"/>
        <w:widowControl w:val="0"/>
        <w:spacing w:before="80" w:after="80"/>
        <w:ind w:left="80" w:right="80"/>
        <w:rPr>
          <w:rFonts w:asciiTheme="minorHAnsi" w:hAnsiTheme="minorHAnsi"/>
          <w:lang w:eastAsia="x-none"/>
        </w:rPr>
      </w:pPr>
    </w:p>
    <w:p w14:paraId="52E9FF55" w14:textId="680E5ECC" w:rsidR="00AE267D" w:rsidRPr="00AE267D" w:rsidRDefault="00AE267D" w:rsidP="00AE267D">
      <w:pPr>
        <w:pStyle w:val="Heading1"/>
      </w:pPr>
      <w:r w:rsidRPr="00AE267D">
        <w:t>Paraphrases (not new translations, just</w:t>
      </w:r>
      <w:r>
        <w:t xml:space="preserve"> context sense</w:t>
      </w:r>
      <w:r w:rsidRPr="00AE267D">
        <w:t>)</w:t>
      </w:r>
    </w:p>
    <w:p w14:paraId="75F552BE" w14:textId="77777777" w:rsidR="00AE267D" w:rsidRPr="00CC0F49" w:rsidRDefault="00AE267D" w:rsidP="00AE267D">
      <w:pPr>
        <w:spacing w:after="0" w:line="240" w:lineRule="auto"/>
        <w:ind w:left="720"/>
        <w:rPr>
          <w:rFonts w:eastAsia="Times New Roman" w:cs="Calibri"/>
          <w:i/>
          <w:iCs/>
          <w:kern w:val="0"/>
          <w:sz w:val="22"/>
          <w:szCs w:val="22"/>
          <w14:ligatures w14:val="none"/>
        </w:rPr>
      </w:pPr>
      <w:r w:rsidRPr="00CC0F49">
        <w:rPr>
          <w:rFonts w:eastAsia="Times New Roman" w:cs="Calibri"/>
          <w:i/>
          <w:iCs/>
          <w:kern w:val="0"/>
          <w:sz w:val="22"/>
          <w:szCs w:val="22"/>
          <w14:ligatures w14:val="none"/>
        </w:rPr>
        <w:t>“In the same way, women should present themselves modestly and with self-control, not showcasing wealth, but showcasing good works that match reverence for God.  A woman should receive teaching, in a calm and receptive posture.  I’m not permitting a woman to function as the teacher who authoritatively directs men (nor to domineer in any way); instead, she should remain in that calm learner posture.  This is connected to the creation pattern (Adam formed first; roles assigned to both Adam and Eve) and to the way deception played out at the Fall (with judgements placed upon both man and woman).  Women are not shut out of salvation nor honor; rather, they live out deliverance as they persevere in faith, love, holiness, and self-control, even in ordinary embodied life such as childbearing.”</w:t>
      </w:r>
    </w:p>
    <w:p w14:paraId="5F742E52" w14:textId="77777777" w:rsidR="00AE267D" w:rsidRDefault="00AE267D" w:rsidP="00AE267D">
      <w:pPr>
        <w:spacing w:after="0" w:line="240" w:lineRule="auto"/>
        <w:rPr>
          <w:rFonts w:eastAsia="Times New Roman" w:cs="Calibri"/>
          <w:kern w:val="0"/>
          <w:sz w:val="22"/>
          <w:szCs w:val="22"/>
          <w14:ligatures w14:val="none"/>
        </w:rPr>
      </w:pPr>
    </w:p>
    <w:p w14:paraId="0721DDD4" w14:textId="77777777" w:rsidR="00AE267D" w:rsidRPr="00AE267D" w:rsidRDefault="00AE267D" w:rsidP="00AE267D">
      <w:pPr>
        <w:pStyle w:val="NormalWeb"/>
        <w:spacing w:before="0" w:beforeAutospacing="0" w:after="0" w:afterAutospacing="0"/>
        <w:rPr>
          <w:rFonts w:asciiTheme="minorHAnsi" w:hAnsiTheme="minorHAnsi" w:cs="Calibri"/>
          <w:sz w:val="22"/>
          <w:szCs w:val="22"/>
        </w:rPr>
      </w:pPr>
      <w:r w:rsidRPr="00AE267D">
        <w:rPr>
          <w:rFonts w:asciiTheme="minorHAnsi" w:hAnsiTheme="minorHAnsi" w:cs="Calibri"/>
          <w:sz w:val="22"/>
          <w:szCs w:val="22"/>
        </w:rPr>
        <w:t>Here is a tighter paraphrase, keeping closer to the flow of the text and the logic of 1 Timothy:</w:t>
      </w:r>
    </w:p>
    <w:p w14:paraId="3947BFEB" w14:textId="77777777" w:rsidR="00AE267D" w:rsidRDefault="00AE267D" w:rsidP="00AE267D">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09A732A"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“In the same way, women should dress in a way that fits reverence for God, marked by modesty and self-control, not drawing attention through wealth or display, but through good works. A woman is to learn in a quiet, settled manner, with full submission to the church’s order. I am not permitting a woman to teach or to exercise authority over a man; rather, she is to remain in that quiet posture. This instruction rests on the pattern of creation, Adam was formed first, then Eve.  And, on the account of the fall, where the woman was deceived and fell into transgression.  Yet she will be saved through childbearing, if they continue in faith, love, holiness, and self-control.”</w:t>
      </w:r>
    </w:p>
    <w:p w14:paraId="1040CF1A" w14:textId="77777777" w:rsidR="00AE267D" w:rsidRDefault="00AE267D" w:rsidP="00AE267D">
      <w:pPr>
        <w:pStyle w:val="NormalWeb"/>
        <w:spacing w:before="0" w:beforeAutospacing="0" w:after="0" w:afterAutospacing="0"/>
        <w:rPr>
          <w:rFonts w:ascii="Calibri" w:hAnsi="Calibri" w:cs="Calibri"/>
          <w:sz w:val="22"/>
          <w:szCs w:val="22"/>
        </w:rPr>
      </w:pPr>
    </w:p>
    <w:p w14:paraId="2155DECE" w14:textId="77777777" w:rsidR="00AE267D" w:rsidRPr="00AE267D" w:rsidRDefault="00AE267D" w:rsidP="00AE267D">
      <w:pPr>
        <w:pStyle w:val="NormalWeb"/>
        <w:spacing w:before="0" w:beforeAutospacing="0" w:after="0" w:afterAutospacing="0"/>
        <w:rPr>
          <w:rFonts w:asciiTheme="minorHAnsi" w:hAnsiTheme="minorHAnsi" w:cs="Calibri"/>
          <w:sz w:val="22"/>
          <w:szCs w:val="22"/>
        </w:rPr>
      </w:pPr>
      <w:r w:rsidRPr="00AE267D">
        <w:rPr>
          <w:rFonts w:asciiTheme="minorHAnsi" w:hAnsiTheme="minorHAnsi" w:cs="Calibri"/>
          <w:sz w:val="22"/>
          <w:szCs w:val="22"/>
        </w:rPr>
        <w:t>Here is a stripped-down paraphrase that follows the Greek structure and keeps interpretive smoothing to a minimum:</w:t>
      </w:r>
    </w:p>
    <w:p w14:paraId="76514DD0" w14:textId="77777777" w:rsidR="00AE267D" w:rsidRDefault="00AE267D" w:rsidP="00AE267D">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823219F"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lastRenderedPageBreak/>
        <w:t>“In the same way, women are to adorn themselves in proper clothing, with modesty and self-control, not with braided hair and gold or pearls or costly garments, but with good works, which is fitting for women who profess reverence for God.</w:t>
      </w:r>
    </w:p>
    <w:p w14:paraId="66CD8A61"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 </w:t>
      </w:r>
    </w:p>
    <w:p w14:paraId="76429F39"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Let a woman learn in quietness, in all submission.</w:t>
      </w:r>
    </w:p>
    <w:p w14:paraId="74E354CD"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 </w:t>
      </w:r>
    </w:p>
    <w:p w14:paraId="5039297E"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I am not permitting a woman to teach nor to exercise authority over a man, but to be in quietness.</w:t>
      </w:r>
    </w:p>
    <w:p w14:paraId="3BF9ABB4"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 </w:t>
      </w:r>
    </w:p>
    <w:p w14:paraId="743CE590"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For Adam was formed first, then Eve. And Adam was not deceived, but the woman, having been deceived, came to be in transgression.</w:t>
      </w:r>
    </w:p>
    <w:p w14:paraId="5F3FC8F6"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 </w:t>
      </w:r>
    </w:p>
    <w:p w14:paraId="2D0D64C1"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But she will be saved through childbearing, if they continue in faith and love and holiness with self-control.”</w:t>
      </w:r>
    </w:p>
    <w:p w14:paraId="75DEFC5A" w14:textId="77777777" w:rsidR="00AE267D" w:rsidRDefault="00AE267D" w:rsidP="00AE267D">
      <w:pPr>
        <w:pStyle w:val="NormalWeb"/>
        <w:spacing w:before="0" w:beforeAutospacing="0" w:after="0" w:afterAutospacing="0"/>
        <w:rPr>
          <w:rFonts w:ascii="Calibri" w:hAnsi="Calibri" w:cs="Calibri"/>
          <w:sz w:val="22"/>
          <w:szCs w:val="22"/>
        </w:rPr>
      </w:pPr>
    </w:p>
    <w:p w14:paraId="0DB22C27" w14:textId="5CC0D77C" w:rsidR="00AE267D" w:rsidRPr="005E7A4F" w:rsidRDefault="00AE267D" w:rsidP="00AE267D">
      <w:pPr>
        <w:pStyle w:val="Heading1"/>
      </w:pPr>
      <w:r>
        <w:t>Passage Context Analysis</w:t>
      </w:r>
    </w:p>
    <w:p w14:paraId="0C1D9133" w14:textId="77777777" w:rsidR="005E7A4F" w:rsidRPr="006B2541" w:rsidRDefault="005E7A4F" w:rsidP="006B2541">
      <w:pPr>
        <w:pStyle w:val="Heading2"/>
      </w:pPr>
      <w:r w:rsidRPr="006B2541">
        <w:t>1) Where this sits in 1 Timothy</w:t>
      </w:r>
    </w:p>
    <w:p w14:paraId="65580EF7"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Big purpose of the letter:</w:t>
      </w:r>
      <w:r w:rsidRPr="005E7A4F">
        <w:rPr>
          <w:rFonts w:eastAsia="Times New Roman" w:cs="Calibri"/>
          <w:kern w:val="0"/>
          <w:sz w:val="22"/>
          <w:szCs w:val="22"/>
          <w14:ligatures w14:val="none"/>
        </w:rPr>
        <w:t xml:space="preserve"> Paul left Timothy in Ephesus to confront false teaching and to re-stabilize church life (1 Tim 1:3–7). That includes (a) sound teaching, (b) public worship, (c) qualified leadership, and (d) a community life that fits “godliness” (ε</w:t>
      </w:r>
      <w:r w:rsidRPr="005E7A4F">
        <w:rPr>
          <w:rFonts w:ascii="Arial" w:eastAsia="Times New Roman" w:hAnsi="Arial" w:cs="Arial"/>
          <w:kern w:val="0"/>
          <w:sz w:val="22"/>
          <w:szCs w:val="22"/>
          <w14:ligatures w14:val="none"/>
        </w:rPr>
        <w:t>ὐ</w:t>
      </w:r>
      <w:r w:rsidRPr="005E7A4F">
        <w:rPr>
          <w:rFonts w:ascii="Aptos" w:eastAsia="Times New Roman" w:hAnsi="Aptos" w:cs="Aptos"/>
          <w:kern w:val="0"/>
          <w:sz w:val="22"/>
          <w:szCs w:val="22"/>
          <w14:ligatures w14:val="none"/>
        </w:rPr>
        <w:t>σέβεια</w:t>
      </w:r>
      <w:r w:rsidRPr="005E7A4F">
        <w:rPr>
          <w:rFonts w:eastAsia="Times New Roman" w:cs="Calibri"/>
          <w:kern w:val="0"/>
          <w:sz w:val="22"/>
          <w:szCs w:val="22"/>
          <w14:ligatures w14:val="none"/>
        </w:rPr>
        <w:t>, eusebeia).</w:t>
      </w:r>
    </w:p>
    <w:p w14:paraId="7E4317D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Immediate flow:</w:t>
      </w:r>
    </w:p>
    <w:p w14:paraId="6EF63B1D" w14:textId="77777777" w:rsidR="005E7A4F" w:rsidRPr="005E7A4F" w:rsidRDefault="005E7A4F" w:rsidP="005E7A4F">
      <w:pPr>
        <w:numPr>
          <w:ilvl w:val="0"/>
          <w:numId w:val="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2:1–7</w:t>
      </w:r>
      <w:r w:rsidRPr="005E7A4F">
        <w:rPr>
          <w:rFonts w:eastAsia="Times New Roman" w:cs="Calibri"/>
          <w:kern w:val="0"/>
          <w:sz w:val="22"/>
          <w:szCs w:val="22"/>
          <w14:ligatures w14:val="none"/>
        </w:rPr>
        <w:t>: public prayer for all people.</w:t>
      </w:r>
    </w:p>
    <w:p w14:paraId="7746C7BC" w14:textId="77777777" w:rsidR="005E7A4F" w:rsidRPr="005E7A4F" w:rsidRDefault="005E7A4F" w:rsidP="005E7A4F">
      <w:pPr>
        <w:numPr>
          <w:ilvl w:val="0"/>
          <w:numId w:val="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2:8</w:t>
      </w:r>
      <w:r w:rsidRPr="005E7A4F">
        <w:rPr>
          <w:rFonts w:eastAsia="Times New Roman" w:cs="Calibri"/>
          <w:kern w:val="0"/>
          <w:sz w:val="22"/>
          <w:szCs w:val="22"/>
          <w14:ligatures w14:val="none"/>
        </w:rPr>
        <w:t>: men are to pray without anger/quarreling.</w:t>
      </w:r>
    </w:p>
    <w:p w14:paraId="71696F67" w14:textId="77777777" w:rsidR="005E7A4F" w:rsidRPr="005E7A4F" w:rsidRDefault="005E7A4F" w:rsidP="005E7A4F">
      <w:pPr>
        <w:numPr>
          <w:ilvl w:val="0"/>
          <w:numId w:val="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2:9–10</w:t>
      </w:r>
      <w:r w:rsidRPr="005E7A4F">
        <w:rPr>
          <w:rFonts w:eastAsia="Times New Roman" w:cs="Calibri"/>
          <w:kern w:val="0"/>
          <w:sz w:val="22"/>
          <w:szCs w:val="22"/>
          <w14:ligatures w14:val="none"/>
        </w:rPr>
        <w:t>: women’s outward presentation should fit reverence for God.</w:t>
      </w:r>
    </w:p>
    <w:p w14:paraId="74E3C936" w14:textId="77777777" w:rsidR="005E7A4F" w:rsidRPr="005E7A4F" w:rsidRDefault="005E7A4F" w:rsidP="005E7A4F">
      <w:pPr>
        <w:numPr>
          <w:ilvl w:val="0"/>
          <w:numId w:val="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2:11–15</w:t>
      </w:r>
      <w:r w:rsidRPr="005E7A4F">
        <w:rPr>
          <w:rFonts w:eastAsia="Times New Roman" w:cs="Calibri"/>
          <w:kern w:val="0"/>
          <w:sz w:val="22"/>
          <w:szCs w:val="22"/>
          <w14:ligatures w14:val="none"/>
        </w:rPr>
        <w:t xml:space="preserve">: women must </w:t>
      </w:r>
      <w:r w:rsidRPr="005E7A4F">
        <w:rPr>
          <w:rFonts w:eastAsia="Times New Roman" w:cs="Calibri"/>
          <w:i/>
          <w:iCs/>
          <w:kern w:val="0"/>
          <w:sz w:val="22"/>
          <w:szCs w:val="22"/>
          <w14:ligatures w14:val="none"/>
        </w:rPr>
        <w:t>learn</w:t>
      </w:r>
      <w:r w:rsidRPr="005E7A4F">
        <w:rPr>
          <w:rFonts w:eastAsia="Times New Roman" w:cs="Calibri"/>
          <w:kern w:val="0"/>
          <w:sz w:val="22"/>
          <w:szCs w:val="22"/>
          <w14:ligatures w14:val="none"/>
        </w:rPr>
        <w:t xml:space="preserve"> in a certain posture; then Paul gives a restriction tied to creation and deception; then a difficult closing promise about “childbearing.”</w:t>
      </w:r>
    </w:p>
    <w:p w14:paraId="61AB1420" w14:textId="7E1F4896"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So, this is not a random “women paragraph.” It’s part of Paul’s instructions for </w:t>
      </w:r>
      <w:r w:rsidRPr="005E7A4F">
        <w:rPr>
          <w:rFonts w:eastAsia="Times New Roman" w:cs="Calibri"/>
          <w:b/>
          <w:bCs/>
          <w:kern w:val="0"/>
          <w:sz w:val="22"/>
          <w:szCs w:val="22"/>
          <w14:ligatures w14:val="none"/>
        </w:rPr>
        <w:t>orderly, credible worship</w:t>
      </w:r>
      <w:r w:rsidRPr="005E7A4F">
        <w:rPr>
          <w:rFonts w:eastAsia="Times New Roman" w:cs="Calibri"/>
          <w:kern w:val="0"/>
          <w:sz w:val="22"/>
          <w:szCs w:val="22"/>
          <w14:ligatures w14:val="none"/>
        </w:rPr>
        <w:t xml:space="preserve"> in a church threatened by disorder and doctrinal harm.</w:t>
      </w:r>
    </w:p>
    <w:p w14:paraId="7B300509"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7C3E1C4F" w14:textId="77777777" w:rsidR="005E7A4F" w:rsidRPr="006B2541" w:rsidRDefault="005E7A4F" w:rsidP="006B2541">
      <w:pPr>
        <w:pStyle w:val="Heading2"/>
      </w:pPr>
      <w:r w:rsidRPr="006B2541">
        <w:t>2) Verses 9–10: clothing, modesty, and “good works”</w:t>
      </w:r>
    </w:p>
    <w:p w14:paraId="75D0EE38" w14:textId="3EADA126" w:rsidR="005E7A4F" w:rsidRPr="006B2541" w:rsidRDefault="005E7A4F" w:rsidP="005E7A4F">
      <w:pPr>
        <w:spacing w:after="0" w:line="240" w:lineRule="auto"/>
        <w:rPr>
          <w:rFonts w:asciiTheme="majorHAnsi" w:eastAsiaTheme="majorEastAsia" w:hAnsiTheme="majorHAnsi" w:cstheme="majorBidi"/>
          <w:color w:val="0F4761" w:themeColor="accent1" w:themeShade="BF"/>
          <w:sz w:val="28"/>
          <w:szCs w:val="28"/>
        </w:rPr>
      </w:pPr>
      <w:r w:rsidRPr="006B2541">
        <w:rPr>
          <w:rFonts w:asciiTheme="majorHAnsi" w:eastAsiaTheme="majorEastAsia" w:hAnsiTheme="majorHAnsi" w:cstheme="majorBidi"/>
          <w:color w:val="0F4761" w:themeColor="accent1" w:themeShade="BF"/>
          <w:sz w:val="28"/>
          <w:szCs w:val="28"/>
        </w:rPr>
        <w:t>v9 “Likewise the women…”</w:t>
      </w:r>
    </w:p>
    <w:p w14:paraId="6B4FCD5B"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“Likewise” (</w:t>
      </w:r>
      <w:r w:rsidRPr="005E7A4F">
        <w:rPr>
          <w:rFonts w:ascii="Arial" w:eastAsia="Times New Roman" w:hAnsi="Arial" w:cs="Arial"/>
          <w:kern w:val="0"/>
          <w:sz w:val="22"/>
          <w:szCs w:val="22"/>
          <w14:ligatures w14:val="none"/>
        </w:rPr>
        <w:t>ὡ</w:t>
      </w:r>
      <w:r w:rsidRPr="005E7A4F">
        <w:rPr>
          <w:rFonts w:ascii="Aptos" w:eastAsia="Times New Roman" w:hAnsi="Aptos" w:cs="Aptos"/>
          <w:kern w:val="0"/>
          <w:sz w:val="22"/>
          <w:szCs w:val="22"/>
          <w14:ligatures w14:val="none"/>
        </w:rPr>
        <w:t>σαύτως</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hōsautōs</w:t>
      </w:r>
      <w:r w:rsidRPr="005E7A4F">
        <w:rPr>
          <w:rFonts w:eastAsia="Times New Roman" w:cs="Calibri"/>
          <w:kern w:val="0"/>
          <w:sz w:val="22"/>
          <w:szCs w:val="22"/>
          <w14:ligatures w14:val="none"/>
        </w:rPr>
        <w:t>) connects women’s instruction to v8’s instruction to men. Both are about what “fitting worship” looks like.</w:t>
      </w:r>
    </w:p>
    <w:p w14:paraId="60CD4A70" w14:textId="77777777" w:rsidR="009A4455" w:rsidRDefault="009A4455" w:rsidP="005E7A4F">
      <w:pPr>
        <w:spacing w:after="0" w:line="240" w:lineRule="auto"/>
        <w:rPr>
          <w:rFonts w:eastAsia="Times New Roman" w:cs="Calibri"/>
          <w:b/>
          <w:bCs/>
          <w:kern w:val="0"/>
          <w:sz w:val="32"/>
          <w:szCs w:val="32"/>
          <w14:ligatures w14:val="none"/>
        </w:rPr>
      </w:pPr>
    </w:p>
    <w:p w14:paraId="6F86155D" w14:textId="6549F1C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“suitable apparel… modesty and self-control”</w:t>
      </w:r>
    </w:p>
    <w:p w14:paraId="05EE93FD" w14:textId="77777777" w:rsidR="005E7A4F" w:rsidRPr="005E7A4F" w:rsidRDefault="005E7A4F" w:rsidP="005E7A4F">
      <w:pPr>
        <w:numPr>
          <w:ilvl w:val="0"/>
          <w:numId w:val="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“Suitable/proper” (καταστολή, </w:t>
      </w:r>
      <w:r w:rsidRPr="005E7A4F">
        <w:rPr>
          <w:rFonts w:eastAsia="Times New Roman" w:cs="Calibri"/>
          <w:i/>
          <w:iCs/>
          <w:kern w:val="0"/>
          <w:sz w:val="22"/>
          <w:szCs w:val="22"/>
          <w14:ligatures w14:val="none"/>
        </w:rPr>
        <w:t>katastolē</w:t>
      </w:r>
      <w:r w:rsidRPr="005E7A4F">
        <w:rPr>
          <w:rFonts w:eastAsia="Times New Roman" w:cs="Calibri"/>
          <w:kern w:val="0"/>
          <w:sz w:val="22"/>
          <w:szCs w:val="22"/>
          <w14:ligatures w14:val="none"/>
        </w:rPr>
        <w:t xml:space="preserve">) is about </w:t>
      </w:r>
      <w:r w:rsidRPr="005E7A4F">
        <w:rPr>
          <w:rFonts w:eastAsia="Times New Roman" w:cs="Calibri"/>
          <w:b/>
          <w:bCs/>
          <w:kern w:val="0"/>
          <w:sz w:val="22"/>
          <w:szCs w:val="22"/>
          <w14:ligatures w14:val="none"/>
        </w:rPr>
        <w:t>appropriate, respectable dress</w:t>
      </w:r>
      <w:r w:rsidRPr="005E7A4F">
        <w:rPr>
          <w:rFonts w:eastAsia="Times New Roman" w:cs="Calibri"/>
          <w:kern w:val="0"/>
          <w:sz w:val="22"/>
          <w:szCs w:val="22"/>
          <w14:ligatures w14:val="none"/>
        </w:rPr>
        <w:t>—not merely “cover more skin,” but “presentation that doesn’t pull focus to status, sexuality, or wealth.”</w:t>
      </w:r>
    </w:p>
    <w:p w14:paraId="2CB0067C" w14:textId="77777777" w:rsidR="005E7A4F" w:rsidRPr="005E7A4F" w:rsidRDefault="005E7A4F" w:rsidP="005E7A4F">
      <w:pPr>
        <w:numPr>
          <w:ilvl w:val="0"/>
          <w:numId w:val="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“Modesty” (α</w:t>
      </w:r>
      <w:r w:rsidRPr="005E7A4F">
        <w:rPr>
          <w:rFonts w:ascii="Arial" w:eastAsia="Times New Roman" w:hAnsi="Arial" w:cs="Arial"/>
          <w:kern w:val="0"/>
          <w:sz w:val="22"/>
          <w:szCs w:val="22"/>
          <w14:ligatures w14:val="none"/>
        </w:rPr>
        <w:t>ἰ</w:t>
      </w:r>
      <w:r w:rsidRPr="005E7A4F">
        <w:rPr>
          <w:rFonts w:ascii="Aptos" w:eastAsia="Times New Roman" w:hAnsi="Aptos" w:cs="Aptos"/>
          <w:kern w:val="0"/>
          <w:sz w:val="22"/>
          <w:szCs w:val="22"/>
          <w14:ligatures w14:val="none"/>
        </w:rPr>
        <w:t>δώς</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aidōs</w:t>
      </w:r>
      <w:r w:rsidRPr="005E7A4F">
        <w:rPr>
          <w:rFonts w:eastAsia="Times New Roman" w:cs="Calibri"/>
          <w:kern w:val="0"/>
          <w:sz w:val="22"/>
          <w:szCs w:val="22"/>
          <w14:ligatures w14:val="none"/>
        </w:rPr>
        <w:t xml:space="preserve">) is the sense of </w:t>
      </w:r>
      <w:r w:rsidRPr="005E7A4F">
        <w:rPr>
          <w:rFonts w:eastAsia="Times New Roman" w:cs="Calibri"/>
          <w:b/>
          <w:bCs/>
          <w:kern w:val="0"/>
          <w:sz w:val="22"/>
          <w:szCs w:val="22"/>
          <w14:ligatures w14:val="none"/>
        </w:rPr>
        <w:t>propriety/shamefastness</w:t>
      </w:r>
      <w:r w:rsidRPr="005E7A4F">
        <w:rPr>
          <w:rFonts w:eastAsia="Times New Roman" w:cs="Calibri"/>
          <w:kern w:val="0"/>
          <w:sz w:val="22"/>
          <w:szCs w:val="22"/>
          <w14:ligatures w14:val="none"/>
        </w:rPr>
        <w:t>—a moral awareness of what’s fitting.</w:t>
      </w:r>
    </w:p>
    <w:p w14:paraId="77F59803" w14:textId="77777777" w:rsidR="005E7A4F" w:rsidRPr="005E7A4F" w:rsidRDefault="005E7A4F" w:rsidP="005E7A4F">
      <w:pPr>
        <w:numPr>
          <w:ilvl w:val="0"/>
          <w:numId w:val="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lastRenderedPageBreak/>
        <w:t xml:space="preserve">“Self-control” (σωφροσύνη, </w:t>
      </w:r>
      <w:r w:rsidRPr="005E7A4F">
        <w:rPr>
          <w:rFonts w:eastAsia="Times New Roman" w:cs="Calibri"/>
          <w:i/>
          <w:iCs/>
          <w:kern w:val="0"/>
          <w:sz w:val="22"/>
          <w:szCs w:val="22"/>
          <w14:ligatures w14:val="none"/>
        </w:rPr>
        <w:t>sōphrosynē</w:t>
      </w:r>
      <w:r w:rsidRPr="005E7A4F">
        <w:rPr>
          <w:rFonts w:eastAsia="Times New Roman" w:cs="Calibri"/>
          <w:kern w:val="0"/>
          <w:sz w:val="22"/>
          <w:szCs w:val="22"/>
          <w14:ligatures w14:val="none"/>
        </w:rPr>
        <w:t xml:space="preserve">) is </w:t>
      </w:r>
      <w:r w:rsidRPr="005E7A4F">
        <w:rPr>
          <w:rFonts w:eastAsia="Times New Roman" w:cs="Calibri"/>
          <w:b/>
          <w:bCs/>
          <w:kern w:val="0"/>
          <w:sz w:val="22"/>
          <w:szCs w:val="22"/>
          <w14:ligatures w14:val="none"/>
        </w:rPr>
        <w:t>sound-minded restraint</w:t>
      </w:r>
      <w:r w:rsidRPr="005E7A4F">
        <w:rPr>
          <w:rFonts w:eastAsia="Times New Roman" w:cs="Calibri"/>
          <w:kern w:val="0"/>
          <w:sz w:val="22"/>
          <w:szCs w:val="22"/>
          <w14:ligatures w14:val="none"/>
        </w:rPr>
        <w:t xml:space="preserve"> (a major pastoral theme; see also Titus).</w:t>
      </w:r>
    </w:p>
    <w:p w14:paraId="1A3EF7B2" w14:textId="77777777" w:rsidR="009A4455" w:rsidRDefault="009A4455" w:rsidP="005E7A4F">
      <w:pPr>
        <w:spacing w:after="0" w:line="240" w:lineRule="auto"/>
        <w:rPr>
          <w:rFonts w:eastAsia="Times New Roman" w:cs="Calibri"/>
          <w:b/>
          <w:bCs/>
          <w:kern w:val="0"/>
          <w:sz w:val="32"/>
          <w:szCs w:val="32"/>
          <w14:ligatures w14:val="none"/>
        </w:rPr>
      </w:pPr>
    </w:p>
    <w:p w14:paraId="23D5AA8B" w14:textId="37B4481B"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“not with braided hair and gold…”</w:t>
      </w:r>
    </w:p>
    <w:p w14:paraId="56FC6F49"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This is best read like other biblical “not X but Y” constructions: </w:t>
      </w:r>
      <w:r w:rsidRPr="005E7A4F">
        <w:rPr>
          <w:rFonts w:eastAsia="Times New Roman" w:cs="Calibri"/>
          <w:b/>
          <w:bCs/>
          <w:kern w:val="0"/>
          <w:sz w:val="22"/>
          <w:szCs w:val="22"/>
          <w14:ligatures w14:val="none"/>
        </w:rPr>
        <w:t>not prohibition of all jewelry ever</w:t>
      </w:r>
      <w:r w:rsidRPr="005E7A4F">
        <w:rPr>
          <w:rFonts w:eastAsia="Times New Roman" w:cs="Calibri"/>
          <w:kern w:val="0"/>
          <w:sz w:val="22"/>
          <w:szCs w:val="22"/>
          <w14:ligatures w14:val="none"/>
        </w:rPr>
        <w:t xml:space="preserve">, but a rejection of </w:t>
      </w:r>
      <w:r w:rsidRPr="005E7A4F">
        <w:rPr>
          <w:rFonts w:eastAsia="Times New Roman" w:cs="Calibri"/>
          <w:b/>
          <w:bCs/>
          <w:kern w:val="0"/>
          <w:sz w:val="22"/>
          <w:szCs w:val="22"/>
          <w14:ligatures w14:val="none"/>
        </w:rPr>
        <w:t>status-display and seduction</w:t>
      </w:r>
      <w:r w:rsidRPr="005E7A4F">
        <w:rPr>
          <w:rFonts w:eastAsia="Times New Roman" w:cs="Calibri"/>
          <w:kern w:val="0"/>
          <w:sz w:val="22"/>
          <w:szCs w:val="22"/>
          <w14:ligatures w14:val="none"/>
        </w:rPr>
        <w:t xml:space="preserve"> as the engine of identity. The positive alternative is the main point:</w:t>
      </w:r>
    </w:p>
    <w:p w14:paraId="34ACA03F" w14:textId="77777777" w:rsidR="009A4455" w:rsidRDefault="009A4455" w:rsidP="005E7A4F">
      <w:pPr>
        <w:spacing w:after="0" w:line="240" w:lineRule="auto"/>
        <w:rPr>
          <w:rFonts w:eastAsia="Times New Roman" w:cs="Calibri"/>
          <w:b/>
          <w:bCs/>
          <w:kern w:val="0"/>
          <w:sz w:val="32"/>
          <w:szCs w:val="32"/>
          <w14:ligatures w14:val="none"/>
        </w:rPr>
      </w:pPr>
    </w:p>
    <w:p w14:paraId="2D4626BA" w14:textId="7CB130DE"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v10 “but with good deeds…”</w:t>
      </w:r>
    </w:p>
    <w:p w14:paraId="774873ED"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Women who “profess reverence for God” should be known for </w:t>
      </w:r>
      <w:r w:rsidRPr="005E7A4F">
        <w:rPr>
          <w:rFonts w:eastAsia="Times New Roman" w:cs="Calibri"/>
          <w:b/>
          <w:bCs/>
          <w:kern w:val="0"/>
          <w:sz w:val="22"/>
          <w:szCs w:val="22"/>
          <w14:ligatures w14:val="none"/>
        </w:rPr>
        <w:t>observable piety</w:t>
      </w:r>
      <w:r w:rsidRPr="005E7A4F">
        <w:rPr>
          <w:rFonts w:eastAsia="Times New Roman" w:cs="Calibri"/>
          <w:kern w:val="0"/>
          <w:sz w:val="22"/>
          <w:szCs w:val="22"/>
          <w14:ligatures w14:val="none"/>
        </w:rPr>
        <w:t xml:space="preserve"> (good works), not social signaling.</w:t>
      </w:r>
    </w:p>
    <w:p w14:paraId="31943A71"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In 1 Timothy specifically:</w:t>
      </w:r>
      <w:r w:rsidRPr="005E7A4F">
        <w:rPr>
          <w:rFonts w:eastAsia="Times New Roman" w:cs="Calibri"/>
          <w:kern w:val="0"/>
          <w:sz w:val="22"/>
          <w:szCs w:val="22"/>
          <w14:ligatures w14:val="none"/>
        </w:rPr>
        <w:t xml:space="preserve"> “good works” keeps showing up as a public marker of genuine faith (e.g., 5:10; 6:18). So vv9–10 are really about </w:t>
      </w:r>
      <w:r w:rsidRPr="005E7A4F">
        <w:rPr>
          <w:rFonts w:eastAsia="Times New Roman" w:cs="Calibri"/>
          <w:b/>
          <w:bCs/>
          <w:kern w:val="0"/>
          <w:sz w:val="22"/>
          <w:szCs w:val="22"/>
          <w14:ligatures w14:val="none"/>
        </w:rPr>
        <w:t>witness and order</w:t>
      </w:r>
      <w:r w:rsidRPr="005E7A4F">
        <w:rPr>
          <w:rFonts w:eastAsia="Times New Roman" w:cs="Calibri"/>
          <w:kern w:val="0"/>
          <w:sz w:val="22"/>
          <w:szCs w:val="22"/>
          <w14:ligatures w14:val="none"/>
        </w:rPr>
        <w:t>.</w:t>
      </w:r>
    </w:p>
    <w:p w14:paraId="1E92D7E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027133AD" w14:textId="77777777" w:rsidR="005E7A4F" w:rsidRPr="006B2541" w:rsidRDefault="005E7A4F" w:rsidP="006B2541">
      <w:pPr>
        <w:pStyle w:val="Heading2"/>
      </w:pPr>
      <w:r w:rsidRPr="006B2541">
        <w:t>3) Verse 11: “let a woman learn” (often overlooked)</w:t>
      </w:r>
    </w:p>
    <w:p w14:paraId="4BD83243"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v11 “A woman must learn…”</w:t>
      </w:r>
    </w:p>
    <w:p w14:paraId="400D19F2"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This is not a throwaway. In many ancient settings women were not expected to be taught as disciples. Paul explicitly says: </w:t>
      </w:r>
      <w:r w:rsidRPr="005E7A4F">
        <w:rPr>
          <w:rFonts w:eastAsia="Times New Roman" w:cs="Calibri"/>
          <w:b/>
          <w:bCs/>
          <w:kern w:val="0"/>
          <w:sz w:val="22"/>
          <w:szCs w:val="22"/>
          <w14:ligatures w14:val="none"/>
        </w:rPr>
        <w:t>let her learn.</w:t>
      </w:r>
    </w:p>
    <w:p w14:paraId="51A92F1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Two key words:</w:t>
      </w:r>
    </w:p>
    <w:p w14:paraId="62800E1F" w14:textId="77777777" w:rsidR="005E7A4F" w:rsidRPr="005E7A4F" w:rsidRDefault="005E7A4F" w:rsidP="005E7A4F">
      <w:pPr>
        <w:numPr>
          <w:ilvl w:val="0"/>
          <w:numId w:val="3"/>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“quietly” (</w:t>
      </w:r>
      <w:r w:rsidRPr="005E7A4F">
        <w:rPr>
          <w:rFonts w:ascii="Arial" w:eastAsia="Times New Roman" w:hAnsi="Arial" w:cs="Arial"/>
          <w:kern w:val="0"/>
          <w:sz w:val="22"/>
          <w:szCs w:val="22"/>
          <w14:ligatures w14:val="none"/>
        </w:rPr>
        <w:t>ἐ</w:t>
      </w:r>
      <w:r w:rsidRPr="005E7A4F">
        <w:rPr>
          <w:rFonts w:ascii="Aptos" w:eastAsia="Times New Roman" w:hAnsi="Aptos" w:cs="Aptos"/>
          <w:kern w:val="0"/>
          <w:sz w:val="22"/>
          <w:szCs w:val="22"/>
          <w14:ligatures w14:val="none"/>
        </w:rPr>
        <w:t>ν</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ἡ</w:t>
      </w:r>
      <w:r w:rsidRPr="005E7A4F">
        <w:rPr>
          <w:rFonts w:ascii="Aptos" w:eastAsia="Times New Roman" w:hAnsi="Aptos" w:cs="Aptos"/>
          <w:kern w:val="0"/>
          <w:sz w:val="22"/>
          <w:szCs w:val="22"/>
          <w14:ligatures w14:val="none"/>
        </w:rPr>
        <w:t>συχί</w:t>
      </w:r>
      <w:r w:rsidRPr="005E7A4F">
        <w:rPr>
          <w:rFonts w:ascii="Arial" w:eastAsia="Times New Roman" w:hAnsi="Arial" w:cs="Arial"/>
          <w:kern w:val="0"/>
          <w:sz w:val="22"/>
          <w:szCs w:val="22"/>
          <w14:ligatures w14:val="none"/>
        </w:rPr>
        <w:t>ᾳ</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en hēsychia</w:t>
      </w:r>
      <w:r w:rsidRPr="005E7A4F">
        <w:rPr>
          <w:rFonts w:eastAsia="Times New Roman" w:cs="Calibri"/>
          <w:kern w:val="0"/>
          <w:sz w:val="22"/>
          <w:szCs w:val="22"/>
          <w14:ligatures w14:val="none"/>
        </w:rPr>
        <w:t>)</w:t>
      </w:r>
      <w:r w:rsidRPr="005E7A4F">
        <w:rPr>
          <w:rFonts w:eastAsia="Times New Roman" w:cs="Calibri"/>
          <w:kern w:val="0"/>
          <w:sz w:val="22"/>
          <w:szCs w:val="22"/>
          <w14:ligatures w14:val="none"/>
        </w:rPr>
        <w:br/>
        <w:t xml:space="preserve">This word often means </w:t>
      </w:r>
      <w:r w:rsidRPr="005E7A4F">
        <w:rPr>
          <w:rFonts w:eastAsia="Times New Roman" w:cs="Calibri"/>
          <w:b/>
          <w:bCs/>
          <w:kern w:val="0"/>
          <w:sz w:val="22"/>
          <w:szCs w:val="22"/>
          <w14:ligatures w14:val="none"/>
        </w:rPr>
        <w:t>settledness, calm, non-disruptiveness</w:t>
      </w:r>
      <w:r w:rsidRPr="005E7A4F">
        <w:rPr>
          <w:rFonts w:eastAsia="Times New Roman" w:cs="Calibri"/>
          <w:kern w:val="0"/>
          <w:sz w:val="22"/>
          <w:szCs w:val="22"/>
          <w14:ligatures w14:val="none"/>
        </w:rPr>
        <w:t>, not absolute silence. Same root appears in 2:2 (“peaceful and quiet life”). The vibe is “not contentious, not interrupting, not disruptive.”</w:t>
      </w:r>
    </w:p>
    <w:p w14:paraId="65AA9EC4" w14:textId="77777777" w:rsidR="005E7A4F" w:rsidRPr="005E7A4F" w:rsidRDefault="005E7A4F" w:rsidP="005E7A4F">
      <w:pPr>
        <w:numPr>
          <w:ilvl w:val="0"/>
          <w:numId w:val="3"/>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“with all submissiveness” (</w:t>
      </w:r>
      <w:r w:rsidRPr="005E7A4F">
        <w:rPr>
          <w:rFonts w:ascii="Arial" w:eastAsia="Times New Roman" w:hAnsi="Arial" w:cs="Arial"/>
          <w:kern w:val="0"/>
          <w:sz w:val="22"/>
          <w:szCs w:val="22"/>
          <w14:ligatures w14:val="none"/>
        </w:rPr>
        <w:t>ἐ</w:t>
      </w:r>
      <w:r w:rsidRPr="005E7A4F">
        <w:rPr>
          <w:rFonts w:ascii="Aptos" w:eastAsia="Times New Roman" w:hAnsi="Aptos" w:cs="Aptos"/>
          <w:kern w:val="0"/>
          <w:sz w:val="22"/>
          <w:szCs w:val="22"/>
          <w14:ligatures w14:val="none"/>
        </w:rPr>
        <w:t>ν</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πάσ</w:t>
      </w:r>
      <w:r w:rsidRPr="005E7A4F">
        <w:rPr>
          <w:rFonts w:ascii="Arial" w:eastAsia="Times New Roman" w:hAnsi="Arial" w:cs="Arial"/>
          <w:kern w:val="0"/>
          <w:sz w:val="22"/>
          <w:szCs w:val="22"/>
          <w14:ligatures w14:val="none"/>
        </w:rPr>
        <w:t>ῃ</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ὑ</w:t>
      </w:r>
      <w:r w:rsidRPr="005E7A4F">
        <w:rPr>
          <w:rFonts w:ascii="Aptos" w:eastAsia="Times New Roman" w:hAnsi="Aptos" w:cs="Aptos"/>
          <w:kern w:val="0"/>
          <w:sz w:val="22"/>
          <w:szCs w:val="22"/>
          <w14:ligatures w14:val="none"/>
        </w:rPr>
        <w:t>ποταγ</w:t>
      </w:r>
      <w:r w:rsidRPr="005E7A4F">
        <w:rPr>
          <w:rFonts w:ascii="Arial" w:eastAsia="Times New Roman" w:hAnsi="Arial" w:cs="Arial"/>
          <w:kern w:val="0"/>
          <w:sz w:val="22"/>
          <w:szCs w:val="22"/>
          <w14:ligatures w14:val="none"/>
        </w:rPr>
        <w:t>ῇ</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en pasē hypotagē</w:t>
      </w:r>
      <w:r w:rsidRPr="005E7A4F">
        <w:rPr>
          <w:rFonts w:eastAsia="Times New Roman" w:cs="Calibri"/>
          <w:kern w:val="0"/>
          <w:sz w:val="22"/>
          <w:szCs w:val="22"/>
          <w14:ligatures w14:val="none"/>
        </w:rPr>
        <w:t>)</w:t>
      </w:r>
      <w:r w:rsidRPr="005E7A4F">
        <w:rPr>
          <w:rFonts w:eastAsia="Times New Roman" w:cs="Calibri"/>
          <w:kern w:val="0"/>
          <w:sz w:val="22"/>
          <w:szCs w:val="22"/>
          <w14:ligatures w14:val="none"/>
        </w:rPr>
        <w:br/>
      </w:r>
      <w:r w:rsidRPr="005E7A4F">
        <w:rPr>
          <w:rFonts w:eastAsia="Times New Roman" w:cs="Calibri"/>
          <w:i/>
          <w:iCs/>
          <w:kern w:val="0"/>
          <w:sz w:val="22"/>
          <w:szCs w:val="22"/>
          <w14:ligatures w14:val="none"/>
        </w:rPr>
        <w:t>Hypotagē</w:t>
      </w:r>
      <w:r w:rsidRPr="005E7A4F">
        <w:rPr>
          <w:rFonts w:eastAsia="Times New Roman" w:cs="Calibri"/>
          <w:kern w:val="0"/>
          <w:sz w:val="22"/>
          <w:szCs w:val="22"/>
          <w14:ligatures w14:val="none"/>
        </w:rPr>
        <w:t xml:space="preserve"> is “orderly submission,” often to </w:t>
      </w:r>
      <w:r w:rsidRPr="005E7A4F">
        <w:rPr>
          <w:rFonts w:eastAsia="Times New Roman" w:cs="Calibri"/>
          <w:b/>
          <w:bCs/>
          <w:kern w:val="0"/>
          <w:sz w:val="22"/>
          <w:szCs w:val="22"/>
          <w14:ligatures w14:val="none"/>
        </w:rPr>
        <w:t>right teaching / right authority structures</w:t>
      </w:r>
      <w:r w:rsidRPr="005E7A4F">
        <w:rPr>
          <w:rFonts w:eastAsia="Times New Roman" w:cs="Calibri"/>
          <w:kern w:val="0"/>
          <w:sz w:val="22"/>
          <w:szCs w:val="22"/>
          <w14:ligatures w14:val="none"/>
        </w:rPr>
        <w:t xml:space="preserve">, not “women are inferior.” In a teaching environment, it looks like </w:t>
      </w:r>
      <w:r w:rsidRPr="005E7A4F">
        <w:rPr>
          <w:rFonts w:eastAsia="Times New Roman" w:cs="Calibri"/>
          <w:b/>
          <w:bCs/>
          <w:kern w:val="0"/>
          <w:sz w:val="22"/>
          <w:szCs w:val="22"/>
          <w14:ligatures w14:val="none"/>
        </w:rPr>
        <w:t>receiving instruction rather than taking the teacher’s seat</w:t>
      </w:r>
      <w:r w:rsidRPr="005E7A4F">
        <w:rPr>
          <w:rFonts w:eastAsia="Times New Roman" w:cs="Calibri"/>
          <w:kern w:val="0"/>
          <w:sz w:val="22"/>
          <w:szCs w:val="22"/>
          <w14:ligatures w14:val="none"/>
        </w:rPr>
        <w:t>.</w:t>
      </w:r>
    </w:p>
    <w:p w14:paraId="5D99A76F"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 v11 sets the posture: women are learners in the gathered setting, in calmness and receptivity.</w:t>
      </w:r>
    </w:p>
    <w:p w14:paraId="6AB92C2E"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5CE0DF43" w14:textId="77777777" w:rsidR="005E7A4F" w:rsidRPr="006B2541" w:rsidRDefault="005E7A4F" w:rsidP="006B2541">
      <w:pPr>
        <w:pStyle w:val="Heading2"/>
      </w:pPr>
      <w:r w:rsidRPr="006B2541">
        <w:t>4) Verse 12: the crux (lexicon and syntax)</w:t>
      </w:r>
    </w:p>
    <w:p w14:paraId="39E20587"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Greek text (key verbs)</w:t>
      </w:r>
    </w:p>
    <w:p w14:paraId="2EFACD02" w14:textId="77777777" w:rsidR="005E7A4F" w:rsidRPr="005E7A4F" w:rsidRDefault="005E7A4F" w:rsidP="005E7A4F">
      <w:pPr>
        <w:spacing w:after="0" w:line="240" w:lineRule="auto"/>
        <w:ind w:left="540"/>
        <w:rPr>
          <w:rFonts w:eastAsia="Times New Roman" w:cs="Calibri"/>
          <w:kern w:val="0"/>
          <w:sz w:val="22"/>
          <w:szCs w:val="22"/>
          <w14:ligatures w14:val="none"/>
        </w:rPr>
      </w:pPr>
      <w:r w:rsidRPr="005E7A4F">
        <w:rPr>
          <w:rFonts w:eastAsia="Times New Roman" w:cs="Calibri"/>
          <w:kern w:val="0"/>
          <w:sz w:val="22"/>
          <w:szCs w:val="22"/>
          <w14:ligatures w14:val="none"/>
        </w:rPr>
        <w:t>διδάσκειν δ</w:t>
      </w:r>
      <w:r w:rsidRPr="005E7A4F">
        <w:rPr>
          <w:rFonts w:ascii="Arial" w:eastAsia="Times New Roman" w:hAnsi="Arial" w:cs="Arial"/>
          <w:kern w:val="0"/>
          <w:sz w:val="22"/>
          <w:szCs w:val="22"/>
          <w14:ligatures w14:val="none"/>
        </w:rPr>
        <w:t>ὲ</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γυναικ</w:t>
      </w:r>
      <w:r w:rsidRPr="005E7A4F">
        <w:rPr>
          <w:rFonts w:ascii="Arial" w:eastAsia="Times New Roman" w:hAnsi="Arial" w:cs="Arial"/>
          <w:kern w:val="0"/>
          <w:sz w:val="22"/>
          <w:szCs w:val="22"/>
          <w14:ligatures w14:val="none"/>
        </w:rPr>
        <w:t>ὶ</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ο</w:t>
      </w:r>
      <w:r w:rsidRPr="005E7A4F">
        <w:rPr>
          <w:rFonts w:ascii="Arial" w:eastAsia="Times New Roman" w:hAnsi="Arial" w:cs="Arial"/>
          <w:kern w:val="0"/>
          <w:sz w:val="22"/>
          <w:szCs w:val="22"/>
          <w14:ligatures w14:val="none"/>
        </w:rPr>
        <w:t>ὐ</w:t>
      </w:r>
      <w:r w:rsidRPr="005E7A4F">
        <w:rPr>
          <w:rFonts w:ascii="Aptos" w:eastAsia="Times New Roman" w:hAnsi="Aptos" w:cs="Aptos"/>
          <w:kern w:val="0"/>
          <w:sz w:val="22"/>
          <w:szCs w:val="22"/>
          <w14:ligatures w14:val="none"/>
        </w:rPr>
        <w:t>κ</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ἐ</w:t>
      </w:r>
      <w:r w:rsidRPr="005E7A4F">
        <w:rPr>
          <w:rFonts w:ascii="Aptos" w:eastAsia="Times New Roman" w:hAnsi="Aptos" w:cs="Aptos"/>
          <w:kern w:val="0"/>
          <w:sz w:val="22"/>
          <w:szCs w:val="22"/>
          <w14:ligatures w14:val="none"/>
        </w:rPr>
        <w:t>πιτρέπω</w:t>
      </w:r>
      <w:r w:rsidRPr="005E7A4F">
        <w:rPr>
          <w:rFonts w:eastAsia="Times New Roman" w:cs="Calibri"/>
          <w:kern w:val="0"/>
          <w:sz w:val="22"/>
          <w:szCs w:val="22"/>
          <w14:ligatures w14:val="none"/>
        </w:rPr>
        <w:t xml:space="preserve"> </w:t>
      </w:r>
      <w:r w:rsidRPr="005E7A4F">
        <w:rPr>
          <w:rFonts w:eastAsia="Times New Roman" w:cs="Calibri"/>
          <w:b/>
          <w:bCs/>
          <w:kern w:val="0"/>
          <w:sz w:val="22"/>
          <w:szCs w:val="22"/>
          <w14:ligatures w14:val="none"/>
        </w:rPr>
        <w:t>ο</w:t>
      </w:r>
      <w:r w:rsidRPr="005E7A4F">
        <w:rPr>
          <w:rFonts w:ascii="Arial" w:eastAsia="Times New Roman" w:hAnsi="Arial" w:cs="Arial"/>
          <w:b/>
          <w:bCs/>
          <w:kern w:val="0"/>
          <w:sz w:val="22"/>
          <w:szCs w:val="22"/>
          <w14:ligatures w14:val="none"/>
        </w:rPr>
        <w:t>ὐ</w:t>
      </w:r>
      <w:r w:rsidRPr="005E7A4F">
        <w:rPr>
          <w:rFonts w:ascii="Aptos" w:eastAsia="Times New Roman" w:hAnsi="Aptos" w:cs="Aptos"/>
          <w:b/>
          <w:bCs/>
          <w:kern w:val="0"/>
          <w:sz w:val="22"/>
          <w:szCs w:val="22"/>
          <w14:ligatures w14:val="none"/>
        </w:rPr>
        <w:t>δ</w:t>
      </w:r>
      <w:r w:rsidRPr="005E7A4F">
        <w:rPr>
          <w:rFonts w:ascii="Arial" w:eastAsia="Times New Roman" w:hAnsi="Arial" w:cs="Arial"/>
          <w:b/>
          <w:bCs/>
          <w:kern w:val="0"/>
          <w:sz w:val="22"/>
          <w:szCs w:val="22"/>
          <w14:ligatures w14:val="none"/>
        </w:rPr>
        <w:t>ὲ</w:t>
      </w:r>
      <w:r w:rsidRPr="005E7A4F">
        <w:rPr>
          <w:rFonts w:eastAsia="Times New Roman" w:cs="Calibri"/>
          <w:kern w:val="0"/>
          <w:sz w:val="22"/>
          <w:szCs w:val="22"/>
          <w14:ligatures w14:val="none"/>
        </w:rPr>
        <w:t xml:space="preserve"> α</w:t>
      </w:r>
      <w:r w:rsidRPr="005E7A4F">
        <w:rPr>
          <w:rFonts w:ascii="Arial" w:eastAsia="Times New Roman" w:hAnsi="Arial" w:cs="Arial"/>
          <w:kern w:val="0"/>
          <w:sz w:val="22"/>
          <w:szCs w:val="22"/>
          <w14:ligatures w14:val="none"/>
        </w:rPr>
        <w:t>ὐ</w:t>
      </w:r>
      <w:r w:rsidRPr="005E7A4F">
        <w:rPr>
          <w:rFonts w:ascii="Aptos" w:eastAsia="Times New Roman" w:hAnsi="Aptos" w:cs="Aptos"/>
          <w:kern w:val="0"/>
          <w:sz w:val="22"/>
          <w:szCs w:val="22"/>
          <w14:ligatures w14:val="none"/>
        </w:rPr>
        <w:t>θεντε</w:t>
      </w:r>
      <w:r w:rsidRPr="005E7A4F">
        <w:rPr>
          <w:rFonts w:ascii="Arial" w:eastAsia="Times New Roman" w:hAnsi="Arial" w:cs="Arial"/>
          <w:kern w:val="0"/>
          <w:sz w:val="22"/>
          <w:szCs w:val="22"/>
          <w14:ligatures w14:val="none"/>
        </w:rPr>
        <w:t>ῖ</w:t>
      </w:r>
      <w:r w:rsidRPr="005E7A4F">
        <w:rPr>
          <w:rFonts w:ascii="Aptos" w:eastAsia="Times New Roman" w:hAnsi="Aptos" w:cs="Aptos"/>
          <w:kern w:val="0"/>
          <w:sz w:val="22"/>
          <w:szCs w:val="22"/>
          <w14:ligatures w14:val="none"/>
        </w:rPr>
        <w:t>ν</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ἀ</w:t>
      </w:r>
      <w:r w:rsidRPr="005E7A4F">
        <w:rPr>
          <w:rFonts w:ascii="Aptos" w:eastAsia="Times New Roman" w:hAnsi="Aptos" w:cs="Aptos"/>
          <w:kern w:val="0"/>
          <w:sz w:val="22"/>
          <w:szCs w:val="22"/>
          <w14:ligatures w14:val="none"/>
        </w:rPr>
        <w:t>νδρός</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ἀ</w:t>
      </w:r>
      <w:r w:rsidRPr="005E7A4F">
        <w:rPr>
          <w:rFonts w:ascii="Aptos" w:eastAsia="Times New Roman" w:hAnsi="Aptos" w:cs="Aptos"/>
          <w:kern w:val="0"/>
          <w:sz w:val="22"/>
          <w:szCs w:val="22"/>
          <w14:ligatures w14:val="none"/>
        </w:rPr>
        <w:t>λλ’</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ε</w:t>
      </w:r>
      <w:r w:rsidRPr="005E7A4F">
        <w:rPr>
          <w:rFonts w:ascii="Arial" w:eastAsia="Times New Roman" w:hAnsi="Arial" w:cs="Arial"/>
          <w:kern w:val="0"/>
          <w:sz w:val="22"/>
          <w:szCs w:val="22"/>
          <w14:ligatures w14:val="none"/>
        </w:rPr>
        <w:t>ἶ</w:t>
      </w:r>
      <w:r w:rsidRPr="005E7A4F">
        <w:rPr>
          <w:rFonts w:ascii="Aptos" w:eastAsia="Times New Roman" w:hAnsi="Aptos" w:cs="Aptos"/>
          <w:kern w:val="0"/>
          <w:sz w:val="22"/>
          <w:szCs w:val="22"/>
          <w14:ligatures w14:val="none"/>
        </w:rPr>
        <w:t>ναι</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ἐ</w:t>
      </w:r>
      <w:r w:rsidRPr="005E7A4F">
        <w:rPr>
          <w:rFonts w:ascii="Aptos" w:eastAsia="Times New Roman" w:hAnsi="Aptos" w:cs="Aptos"/>
          <w:kern w:val="0"/>
          <w:sz w:val="22"/>
          <w:szCs w:val="22"/>
          <w14:ligatures w14:val="none"/>
        </w:rPr>
        <w:t>ν</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ἡ</w:t>
      </w:r>
      <w:r w:rsidRPr="005E7A4F">
        <w:rPr>
          <w:rFonts w:ascii="Aptos" w:eastAsia="Times New Roman" w:hAnsi="Aptos" w:cs="Aptos"/>
          <w:kern w:val="0"/>
          <w:sz w:val="22"/>
          <w:szCs w:val="22"/>
          <w14:ligatures w14:val="none"/>
        </w:rPr>
        <w:t>συχί</w:t>
      </w:r>
      <w:r w:rsidRPr="005E7A4F">
        <w:rPr>
          <w:rFonts w:ascii="Arial" w:eastAsia="Times New Roman" w:hAnsi="Arial" w:cs="Arial"/>
          <w:kern w:val="0"/>
          <w:sz w:val="22"/>
          <w:szCs w:val="22"/>
          <w14:ligatures w14:val="none"/>
        </w:rPr>
        <w:t>ᾳ</w:t>
      </w:r>
      <w:r w:rsidRPr="005E7A4F">
        <w:rPr>
          <w:rFonts w:eastAsia="Times New Roman" w:cs="Calibri"/>
          <w:kern w:val="0"/>
          <w:sz w:val="22"/>
          <w:szCs w:val="22"/>
          <w14:ligatures w14:val="none"/>
        </w:rPr>
        <w:t>.</w:t>
      </w:r>
    </w:p>
    <w:p w14:paraId="66978BB5"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διδάσκειν</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didaskein</w:t>
      </w:r>
      <w:r w:rsidRPr="005E7A4F">
        <w:rPr>
          <w:rFonts w:eastAsia="Times New Roman" w:cs="Calibri"/>
          <w:kern w:val="0"/>
          <w:sz w:val="22"/>
          <w:szCs w:val="22"/>
          <w14:ligatures w14:val="none"/>
        </w:rPr>
        <w:t>) = “to teach” (normal word for doctrinal instruction).</w:t>
      </w:r>
    </w:p>
    <w:p w14:paraId="5ED7919E"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ο</w:t>
      </w:r>
      <w:r w:rsidRPr="005E7A4F">
        <w:rPr>
          <w:rFonts w:ascii="Arial" w:eastAsia="Times New Roman" w:hAnsi="Arial" w:cs="Arial"/>
          <w:b/>
          <w:bCs/>
          <w:kern w:val="0"/>
          <w:sz w:val="22"/>
          <w:szCs w:val="22"/>
          <w14:ligatures w14:val="none"/>
        </w:rPr>
        <w:t>ὐ</w:t>
      </w:r>
      <w:r w:rsidRPr="005E7A4F">
        <w:rPr>
          <w:rFonts w:ascii="Aptos" w:eastAsia="Times New Roman" w:hAnsi="Aptos" w:cs="Aptos"/>
          <w:b/>
          <w:bCs/>
          <w:kern w:val="0"/>
          <w:sz w:val="22"/>
          <w:szCs w:val="22"/>
          <w14:ligatures w14:val="none"/>
        </w:rPr>
        <w:t>κ</w:t>
      </w:r>
      <w:r w:rsidRPr="005E7A4F">
        <w:rPr>
          <w:rFonts w:eastAsia="Times New Roman" w:cs="Calibri"/>
          <w:b/>
          <w:bCs/>
          <w:kern w:val="0"/>
          <w:sz w:val="22"/>
          <w:szCs w:val="22"/>
          <w14:ligatures w14:val="none"/>
        </w:rPr>
        <w:t xml:space="preserve"> </w:t>
      </w:r>
      <w:r w:rsidRPr="005E7A4F">
        <w:rPr>
          <w:rFonts w:ascii="Arial" w:eastAsia="Times New Roman" w:hAnsi="Arial" w:cs="Arial"/>
          <w:b/>
          <w:bCs/>
          <w:kern w:val="0"/>
          <w:sz w:val="22"/>
          <w:szCs w:val="22"/>
          <w14:ligatures w14:val="none"/>
        </w:rPr>
        <w:t>ἐ</w:t>
      </w:r>
      <w:r w:rsidRPr="005E7A4F">
        <w:rPr>
          <w:rFonts w:ascii="Aptos" w:eastAsia="Times New Roman" w:hAnsi="Aptos" w:cs="Aptos"/>
          <w:b/>
          <w:bCs/>
          <w:kern w:val="0"/>
          <w:sz w:val="22"/>
          <w:szCs w:val="22"/>
          <w14:ligatures w14:val="none"/>
        </w:rPr>
        <w:t>πιτρέπω</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ouk epitrepo</w:t>
      </w:r>
      <w:r w:rsidRPr="005E7A4F">
        <w:rPr>
          <w:rFonts w:eastAsia="Times New Roman" w:cs="Calibri"/>
          <w:kern w:val="0"/>
          <w:sz w:val="22"/>
          <w:szCs w:val="22"/>
          <w14:ligatures w14:val="none"/>
        </w:rPr>
        <w:t>) = “I do not permit/allow.”</w:t>
      </w:r>
    </w:p>
    <w:p w14:paraId="0EFA45B3"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ο</w:t>
      </w:r>
      <w:r w:rsidRPr="005E7A4F">
        <w:rPr>
          <w:rFonts w:ascii="Arial" w:eastAsia="Times New Roman" w:hAnsi="Arial" w:cs="Arial"/>
          <w:b/>
          <w:bCs/>
          <w:kern w:val="0"/>
          <w:sz w:val="22"/>
          <w:szCs w:val="22"/>
          <w14:ligatures w14:val="none"/>
        </w:rPr>
        <w:t>ὐ</w:t>
      </w:r>
      <w:r w:rsidRPr="005E7A4F">
        <w:rPr>
          <w:rFonts w:ascii="Aptos" w:eastAsia="Times New Roman" w:hAnsi="Aptos" w:cs="Aptos"/>
          <w:b/>
          <w:bCs/>
          <w:kern w:val="0"/>
          <w:sz w:val="22"/>
          <w:szCs w:val="22"/>
          <w14:ligatures w14:val="none"/>
        </w:rPr>
        <w:t>δ</w:t>
      </w:r>
      <w:r w:rsidRPr="005E7A4F">
        <w:rPr>
          <w:rFonts w:ascii="Arial" w:eastAsia="Times New Roman" w:hAnsi="Arial" w:cs="Arial"/>
          <w:b/>
          <w:bCs/>
          <w:kern w:val="0"/>
          <w:sz w:val="22"/>
          <w:szCs w:val="22"/>
          <w14:ligatures w14:val="none"/>
        </w:rPr>
        <w:t>ὲ</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oude</w:t>
      </w:r>
      <w:r w:rsidRPr="005E7A4F">
        <w:rPr>
          <w:rFonts w:eastAsia="Times New Roman" w:cs="Calibri"/>
          <w:kern w:val="0"/>
          <w:sz w:val="22"/>
          <w:szCs w:val="22"/>
          <w14:ligatures w14:val="none"/>
        </w:rPr>
        <w:t>) = “and not / nor.” This links two items under one “I do not permit…”</w:t>
      </w:r>
    </w:p>
    <w:p w14:paraId="32509BB3"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α</w:t>
      </w:r>
      <w:r w:rsidRPr="005E7A4F">
        <w:rPr>
          <w:rFonts w:ascii="Arial" w:eastAsia="Times New Roman" w:hAnsi="Arial" w:cs="Arial"/>
          <w:b/>
          <w:bCs/>
          <w:kern w:val="0"/>
          <w:sz w:val="22"/>
          <w:szCs w:val="22"/>
          <w14:ligatures w14:val="none"/>
        </w:rPr>
        <w:t>ὐ</w:t>
      </w:r>
      <w:r w:rsidRPr="005E7A4F">
        <w:rPr>
          <w:rFonts w:ascii="Aptos" w:eastAsia="Times New Roman" w:hAnsi="Aptos" w:cs="Aptos"/>
          <w:b/>
          <w:bCs/>
          <w:kern w:val="0"/>
          <w:sz w:val="22"/>
          <w:szCs w:val="22"/>
          <w14:ligatures w14:val="none"/>
        </w:rPr>
        <w:t>θεντε</w:t>
      </w:r>
      <w:r w:rsidRPr="005E7A4F">
        <w:rPr>
          <w:rFonts w:ascii="Arial" w:eastAsia="Times New Roman" w:hAnsi="Arial" w:cs="Arial"/>
          <w:b/>
          <w:bCs/>
          <w:kern w:val="0"/>
          <w:sz w:val="22"/>
          <w:szCs w:val="22"/>
          <w14:ligatures w14:val="none"/>
        </w:rPr>
        <w:t>ῖ</w:t>
      </w:r>
      <w:r w:rsidRPr="005E7A4F">
        <w:rPr>
          <w:rFonts w:ascii="Aptos" w:eastAsia="Times New Roman" w:hAnsi="Aptos" w:cs="Aptos"/>
          <w:b/>
          <w:bCs/>
          <w:kern w:val="0"/>
          <w:sz w:val="22"/>
          <w:szCs w:val="22"/>
          <w14:ligatures w14:val="none"/>
        </w:rPr>
        <w:t>ν</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authentein</w:t>
      </w:r>
      <w:r w:rsidRPr="005E7A4F">
        <w:rPr>
          <w:rFonts w:eastAsia="Times New Roman" w:cs="Calibri"/>
          <w:kern w:val="0"/>
          <w:sz w:val="22"/>
          <w:szCs w:val="22"/>
          <w14:ligatures w14:val="none"/>
        </w:rPr>
        <w:t>) = the difficult word.</w:t>
      </w:r>
    </w:p>
    <w:p w14:paraId="5971FA4B"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ascii="Arial" w:eastAsia="Times New Roman" w:hAnsi="Arial" w:cs="Arial"/>
          <w:b/>
          <w:bCs/>
          <w:kern w:val="0"/>
          <w:sz w:val="22"/>
          <w:szCs w:val="22"/>
          <w14:ligatures w14:val="none"/>
        </w:rPr>
        <w:t>ἀ</w:t>
      </w:r>
      <w:r w:rsidRPr="005E7A4F">
        <w:rPr>
          <w:rFonts w:ascii="Aptos" w:eastAsia="Times New Roman" w:hAnsi="Aptos" w:cs="Aptos"/>
          <w:b/>
          <w:bCs/>
          <w:kern w:val="0"/>
          <w:sz w:val="22"/>
          <w:szCs w:val="22"/>
          <w14:ligatures w14:val="none"/>
        </w:rPr>
        <w:t>νδρός</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andros</w:t>
      </w:r>
      <w:r w:rsidRPr="005E7A4F">
        <w:rPr>
          <w:rFonts w:eastAsia="Times New Roman" w:cs="Calibri"/>
          <w:kern w:val="0"/>
          <w:sz w:val="22"/>
          <w:szCs w:val="22"/>
          <w14:ligatures w14:val="none"/>
        </w:rPr>
        <w:t>) = “man/husband” (context decides; it’s the adult male term).</w:t>
      </w:r>
    </w:p>
    <w:p w14:paraId="049BE80A"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ascii="Arial" w:eastAsia="Times New Roman" w:hAnsi="Arial" w:cs="Arial"/>
          <w:b/>
          <w:bCs/>
          <w:kern w:val="0"/>
          <w:sz w:val="22"/>
          <w:szCs w:val="22"/>
          <w14:ligatures w14:val="none"/>
        </w:rPr>
        <w:t>ἀ</w:t>
      </w:r>
      <w:r w:rsidRPr="005E7A4F">
        <w:rPr>
          <w:rFonts w:ascii="Aptos" w:eastAsia="Times New Roman" w:hAnsi="Aptos" w:cs="Aptos"/>
          <w:b/>
          <w:bCs/>
          <w:kern w:val="0"/>
          <w:sz w:val="22"/>
          <w:szCs w:val="22"/>
          <w14:ligatures w14:val="none"/>
        </w:rPr>
        <w:t>λλ’</w:t>
      </w:r>
      <w:r w:rsidRPr="005E7A4F">
        <w:rPr>
          <w:rFonts w:eastAsia="Times New Roman" w:cs="Calibri"/>
          <w:b/>
          <w:bCs/>
          <w:kern w:val="0"/>
          <w:sz w:val="22"/>
          <w:szCs w:val="22"/>
          <w14:ligatures w14:val="none"/>
        </w:rPr>
        <w:t xml:space="preserve"> </w:t>
      </w:r>
      <w:r w:rsidRPr="005E7A4F">
        <w:rPr>
          <w:rFonts w:ascii="Aptos" w:eastAsia="Times New Roman" w:hAnsi="Aptos" w:cs="Aptos"/>
          <w:b/>
          <w:bCs/>
          <w:kern w:val="0"/>
          <w:sz w:val="22"/>
          <w:szCs w:val="22"/>
          <w14:ligatures w14:val="none"/>
        </w:rPr>
        <w:t>ε</w:t>
      </w:r>
      <w:r w:rsidRPr="005E7A4F">
        <w:rPr>
          <w:rFonts w:ascii="Arial" w:eastAsia="Times New Roman" w:hAnsi="Arial" w:cs="Arial"/>
          <w:b/>
          <w:bCs/>
          <w:kern w:val="0"/>
          <w:sz w:val="22"/>
          <w:szCs w:val="22"/>
          <w14:ligatures w14:val="none"/>
        </w:rPr>
        <w:t>ἶ</w:t>
      </w:r>
      <w:r w:rsidRPr="005E7A4F">
        <w:rPr>
          <w:rFonts w:ascii="Aptos" w:eastAsia="Times New Roman" w:hAnsi="Aptos" w:cs="Aptos"/>
          <w:b/>
          <w:bCs/>
          <w:kern w:val="0"/>
          <w:sz w:val="22"/>
          <w:szCs w:val="22"/>
          <w14:ligatures w14:val="none"/>
        </w:rPr>
        <w:t>ναι</w:t>
      </w:r>
      <w:r w:rsidRPr="005E7A4F">
        <w:rPr>
          <w:rFonts w:eastAsia="Times New Roman" w:cs="Calibri"/>
          <w:b/>
          <w:bCs/>
          <w:kern w:val="0"/>
          <w:sz w:val="22"/>
          <w:szCs w:val="22"/>
          <w14:ligatures w14:val="none"/>
        </w:rPr>
        <w:t xml:space="preserve"> </w:t>
      </w:r>
      <w:r w:rsidRPr="005E7A4F">
        <w:rPr>
          <w:rFonts w:ascii="Arial" w:eastAsia="Times New Roman" w:hAnsi="Arial" w:cs="Arial"/>
          <w:b/>
          <w:bCs/>
          <w:kern w:val="0"/>
          <w:sz w:val="22"/>
          <w:szCs w:val="22"/>
          <w14:ligatures w14:val="none"/>
        </w:rPr>
        <w:t>ἐ</w:t>
      </w:r>
      <w:r w:rsidRPr="005E7A4F">
        <w:rPr>
          <w:rFonts w:ascii="Aptos" w:eastAsia="Times New Roman" w:hAnsi="Aptos" w:cs="Aptos"/>
          <w:b/>
          <w:bCs/>
          <w:kern w:val="0"/>
          <w:sz w:val="22"/>
          <w:szCs w:val="22"/>
          <w14:ligatures w14:val="none"/>
        </w:rPr>
        <w:t>ν</w:t>
      </w:r>
      <w:r w:rsidRPr="005E7A4F">
        <w:rPr>
          <w:rFonts w:eastAsia="Times New Roman" w:cs="Calibri"/>
          <w:b/>
          <w:bCs/>
          <w:kern w:val="0"/>
          <w:sz w:val="22"/>
          <w:szCs w:val="22"/>
          <w14:ligatures w14:val="none"/>
        </w:rPr>
        <w:t xml:space="preserve"> </w:t>
      </w:r>
      <w:r w:rsidRPr="005E7A4F">
        <w:rPr>
          <w:rFonts w:ascii="Arial" w:eastAsia="Times New Roman" w:hAnsi="Arial" w:cs="Arial"/>
          <w:b/>
          <w:bCs/>
          <w:kern w:val="0"/>
          <w:sz w:val="22"/>
          <w:szCs w:val="22"/>
          <w14:ligatures w14:val="none"/>
        </w:rPr>
        <w:t>ἡ</w:t>
      </w:r>
      <w:r w:rsidRPr="005E7A4F">
        <w:rPr>
          <w:rFonts w:ascii="Aptos" w:eastAsia="Times New Roman" w:hAnsi="Aptos" w:cs="Aptos"/>
          <w:b/>
          <w:bCs/>
          <w:kern w:val="0"/>
          <w:sz w:val="22"/>
          <w:szCs w:val="22"/>
          <w14:ligatures w14:val="none"/>
        </w:rPr>
        <w:t>συχί</w:t>
      </w:r>
      <w:r w:rsidRPr="005E7A4F">
        <w:rPr>
          <w:rFonts w:ascii="Arial" w:eastAsia="Times New Roman" w:hAnsi="Arial" w:cs="Arial"/>
          <w:b/>
          <w:bCs/>
          <w:kern w:val="0"/>
          <w:sz w:val="22"/>
          <w:szCs w:val="22"/>
          <w14:ligatures w14:val="none"/>
        </w:rPr>
        <w:t>ᾳ</w:t>
      </w:r>
      <w:r w:rsidRPr="005E7A4F">
        <w:rPr>
          <w:rFonts w:eastAsia="Times New Roman" w:cs="Calibri"/>
          <w:kern w:val="0"/>
          <w:sz w:val="22"/>
          <w:szCs w:val="22"/>
          <w14:ligatures w14:val="none"/>
        </w:rPr>
        <w:t xml:space="preserve"> = “but to be in quietness/settledness” (returns to v11’s posture).</w:t>
      </w:r>
    </w:p>
    <w:p w14:paraId="57C61614" w14:textId="77777777" w:rsidR="009A4455" w:rsidRDefault="009A4455" w:rsidP="005E7A4F">
      <w:pPr>
        <w:spacing w:after="0" w:line="240" w:lineRule="auto"/>
        <w:rPr>
          <w:rFonts w:eastAsia="Times New Roman" w:cs="Calibri"/>
          <w:b/>
          <w:bCs/>
          <w:kern w:val="0"/>
          <w:sz w:val="32"/>
          <w:szCs w:val="32"/>
          <w14:ligatures w14:val="none"/>
        </w:rPr>
      </w:pPr>
    </w:p>
    <w:p w14:paraId="6C218479" w14:textId="1E12F1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What does authentein mean?</w:t>
      </w:r>
    </w:p>
    <w:p w14:paraId="5CE402AD"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This verb is rare in the NT (this is the only occurrence). In broader Greek usage, the semantic range commonly discussed is:</w:t>
      </w:r>
    </w:p>
    <w:p w14:paraId="32479644" w14:textId="77777777" w:rsidR="005E7A4F" w:rsidRPr="005E7A4F" w:rsidRDefault="005E7A4F" w:rsidP="005E7A4F">
      <w:pPr>
        <w:numPr>
          <w:ilvl w:val="0"/>
          <w:numId w:val="5"/>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lastRenderedPageBreak/>
        <w:t>to exercise authority</w:t>
      </w:r>
      <w:r w:rsidRPr="005E7A4F">
        <w:rPr>
          <w:rFonts w:eastAsia="Times New Roman" w:cs="Calibri"/>
          <w:kern w:val="0"/>
          <w:sz w:val="22"/>
          <w:szCs w:val="22"/>
          <w14:ligatures w14:val="none"/>
        </w:rPr>
        <w:t xml:space="preserve"> (neutral sense: “to have/act with authority”)</w:t>
      </w:r>
    </w:p>
    <w:p w14:paraId="7F5C8C5C" w14:textId="77777777" w:rsidR="005E7A4F" w:rsidRPr="005E7A4F" w:rsidRDefault="005E7A4F" w:rsidP="005E7A4F">
      <w:pPr>
        <w:numPr>
          <w:ilvl w:val="0"/>
          <w:numId w:val="5"/>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to domineer / to control / to act autocratically</w:t>
      </w:r>
      <w:r w:rsidRPr="005E7A4F">
        <w:rPr>
          <w:rFonts w:eastAsia="Times New Roman" w:cs="Calibri"/>
          <w:kern w:val="0"/>
          <w:sz w:val="22"/>
          <w:szCs w:val="22"/>
          <w14:ligatures w14:val="none"/>
        </w:rPr>
        <w:t xml:space="preserve"> (negative sense)</w:t>
      </w:r>
    </w:p>
    <w:p w14:paraId="1C81A793"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A lexicon-level summary often comes out like: “to assume a stance of independent authority,” sometimes with the nuance “to dominate.” The problem is not that the word is unknowable; it’s that </w:t>
      </w:r>
      <w:r w:rsidRPr="005E7A4F">
        <w:rPr>
          <w:rFonts w:eastAsia="Times New Roman" w:cs="Calibri"/>
          <w:b/>
          <w:bCs/>
          <w:kern w:val="0"/>
          <w:sz w:val="22"/>
          <w:szCs w:val="22"/>
          <w14:ligatures w14:val="none"/>
        </w:rPr>
        <w:t>its nuance here is debated</w:t>
      </w:r>
      <w:r w:rsidRPr="005E7A4F">
        <w:rPr>
          <w:rFonts w:eastAsia="Times New Roman" w:cs="Calibri"/>
          <w:kern w:val="0"/>
          <w:sz w:val="22"/>
          <w:szCs w:val="22"/>
          <w14:ligatures w14:val="none"/>
        </w:rPr>
        <w:t>.</w:t>
      </w:r>
    </w:p>
    <w:p w14:paraId="1FA52897" w14:textId="77777777" w:rsidR="009A4455" w:rsidRDefault="009A4455" w:rsidP="005E7A4F">
      <w:pPr>
        <w:spacing w:after="0" w:line="240" w:lineRule="auto"/>
        <w:rPr>
          <w:rFonts w:eastAsia="Times New Roman" w:cs="Calibri"/>
          <w:b/>
          <w:bCs/>
          <w:kern w:val="0"/>
          <w:sz w:val="32"/>
          <w:szCs w:val="32"/>
          <w14:ligatures w14:val="none"/>
        </w:rPr>
      </w:pPr>
    </w:p>
    <w:p w14:paraId="35067983" w14:textId="39AC3CCC"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How the sentence works</w:t>
      </w:r>
    </w:p>
    <w:p w14:paraId="54705887"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Paul states one prohibition with two linked infinitives:</w:t>
      </w:r>
    </w:p>
    <w:p w14:paraId="750106E3" w14:textId="77777777" w:rsidR="005E7A4F" w:rsidRPr="005E7A4F" w:rsidRDefault="005E7A4F" w:rsidP="005E7A4F">
      <w:pPr>
        <w:numPr>
          <w:ilvl w:val="0"/>
          <w:numId w:val="6"/>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“I do not permit a woman </w:t>
      </w:r>
      <w:r w:rsidRPr="005E7A4F">
        <w:rPr>
          <w:rFonts w:eastAsia="Times New Roman" w:cs="Calibri"/>
          <w:b/>
          <w:bCs/>
          <w:kern w:val="0"/>
          <w:sz w:val="22"/>
          <w:szCs w:val="22"/>
          <w14:ligatures w14:val="none"/>
        </w:rPr>
        <w:t>to teach</w:t>
      </w:r>
      <w:r w:rsidRPr="005E7A4F">
        <w:rPr>
          <w:rFonts w:eastAsia="Times New Roman" w:cs="Calibri"/>
          <w:b/>
          <w:bCs/>
          <w:kern w:val="0"/>
          <w:sz w:val="22"/>
          <w:szCs w:val="22"/>
          <w14:ligatures w14:val="none"/>
        </w:rPr>
        <w:br/>
        <w:t>nor to authentein</w:t>
      </w:r>
      <w:r w:rsidRPr="005E7A4F">
        <w:rPr>
          <w:rFonts w:eastAsia="Times New Roman" w:cs="Calibri"/>
          <w:kern w:val="0"/>
          <w:sz w:val="22"/>
          <w:szCs w:val="22"/>
          <w14:ligatures w14:val="none"/>
        </w:rPr>
        <w:t xml:space="preserve"> a man…”</w:t>
      </w:r>
    </w:p>
    <w:p w14:paraId="4372161F"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Then a contrasting directive:</w:t>
      </w:r>
    </w:p>
    <w:p w14:paraId="0AC76D38" w14:textId="77777777" w:rsidR="005E7A4F" w:rsidRPr="005E7A4F" w:rsidRDefault="005E7A4F" w:rsidP="005E7A4F">
      <w:pPr>
        <w:numPr>
          <w:ilvl w:val="0"/>
          <w:numId w:val="7"/>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“but to be in quietness.”</w:t>
      </w:r>
    </w:p>
    <w:p w14:paraId="1FB5BB89"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Two big interpretive questions follow from the grammar:</w:t>
      </w:r>
    </w:p>
    <w:p w14:paraId="19E84778" w14:textId="77777777" w:rsidR="005E7A4F" w:rsidRPr="005E7A4F" w:rsidRDefault="005E7A4F" w:rsidP="005E7A4F">
      <w:pPr>
        <w:numPr>
          <w:ilvl w:val="0"/>
          <w:numId w:val="8"/>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Are “teach” and “authentein” two separate prohibitions?</w:t>
      </w:r>
      <w:r w:rsidRPr="005E7A4F">
        <w:rPr>
          <w:rFonts w:eastAsia="Times New Roman" w:cs="Calibri"/>
          <w:kern w:val="0"/>
          <w:sz w:val="22"/>
          <w:szCs w:val="22"/>
          <w14:ligatures w14:val="none"/>
        </w:rPr>
        <w:br/>
        <w:t>Likely yes in some sense (they’re distinct verbs), but they are tightly linked.</w:t>
      </w:r>
    </w:p>
    <w:p w14:paraId="7F0A921E" w14:textId="77777777" w:rsidR="005E7A4F" w:rsidRPr="005E7A4F" w:rsidRDefault="005E7A4F" w:rsidP="005E7A4F">
      <w:pPr>
        <w:numPr>
          <w:ilvl w:val="0"/>
          <w:numId w:val="8"/>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Does the second verb define the kind of teaching in view (a hendiadys-like effect: “teach in a domineering way”)?</w:t>
      </w:r>
      <w:r w:rsidRPr="005E7A4F">
        <w:rPr>
          <w:rFonts w:eastAsia="Times New Roman" w:cs="Calibri"/>
          <w:kern w:val="0"/>
          <w:sz w:val="22"/>
          <w:szCs w:val="22"/>
          <w14:ligatures w14:val="none"/>
        </w:rPr>
        <w:br/>
        <w:t>Some argue yes: “teach in a way that seizes authority over a man.” Others argue no: Paul forbids (a) authoritative teaching and (b) exercising authority.</w:t>
      </w:r>
    </w:p>
    <w:p w14:paraId="1F91DBDC" w14:textId="77777777" w:rsidR="009A4455" w:rsidRDefault="009A4455" w:rsidP="005E7A4F">
      <w:pPr>
        <w:spacing w:after="0" w:line="240" w:lineRule="auto"/>
        <w:rPr>
          <w:rFonts w:eastAsia="Times New Roman" w:cs="Calibri"/>
          <w:b/>
          <w:bCs/>
          <w:kern w:val="0"/>
          <w:sz w:val="32"/>
          <w:szCs w:val="32"/>
          <w14:ligatures w14:val="none"/>
        </w:rPr>
      </w:pPr>
    </w:p>
    <w:p w14:paraId="53948CB2" w14:textId="727C2484"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 xml:space="preserve">Most responsible reading </w:t>
      </w:r>
      <w:r w:rsidRPr="006B2541">
        <w:rPr>
          <w:rFonts w:eastAsia="Times New Roman" w:cs="Calibri"/>
          <w:b/>
          <w:bCs/>
          <w:i/>
          <w:iCs/>
          <w:kern w:val="0"/>
          <w:sz w:val="28"/>
          <w:szCs w:val="28"/>
          <w14:ligatures w14:val="none"/>
        </w:rPr>
        <w:t>inside 1 Timothy</w:t>
      </w:r>
    </w:p>
    <w:p w14:paraId="04E675FD"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Within this letter, “teach” is repeatedly tied to </w:t>
      </w:r>
      <w:r w:rsidRPr="005E7A4F">
        <w:rPr>
          <w:rFonts w:eastAsia="Times New Roman" w:cs="Calibri"/>
          <w:b/>
          <w:bCs/>
          <w:kern w:val="0"/>
          <w:sz w:val="22"/>
          <w:szCs w:val="22"/>
          <w14:ligatures w14:val="none"/>
        </w:rPr>
        <w:t>official doctrinal transmission</w:t>
      </w:r>
      <w:r w:rsidRPr="005E7A4F">
        <w:rPr>
          <w:rFonts w:eastAsia="Times New Roman" w:cs="Calibri"/>
          <w:kern w:val="0"/>
          <w:sz w:val="22"/>
          <w:szCs w:val="22"/>
          <w14:ligatures w14:val="none"/>
        </w:rPr>
        <w:t xml:space="preserve"> that guards the church (1:3–7; 4:11–16; 6:2–5). And the next chapter immediately defines </w:t>
      </w:r>
      <w:r w:rsidRPr="005E7A4F">
        <w:rPr>
          <w:rFonts w:eastAsia="Times New Roman" w:cs="Calibri"/>
          <w:b/>
          <w:bCs/>
          <w:kern w:val="0"/>
          <w:sz w:val="22"/>
          <w:szCs w:val="22"/>
          <w14:ligatures w14:val="none"/>
        </w:rPr>
        <w:t>overseer/elder</w:t>
      </w:r>
      <w:r w:rsidRPr="005E7A4F">
        <w:rPr>
          <w:rFonts w:eastAsia="Times New Roman" w:cs="Calibri"/>
          <w:kern w:val="0"/>
          <w:sz w:val="22"/>
          <w:szCs w:val="22"/>
          <w14:ligatures w14:val="none"/>
        </w:rPr>
        <w:t xml:space="preserve"> qualifications (3:1–7), where being “able to teach” is a key trait (3:2). That pulls many interpreters toward this conclusion:</w:t>
      </w:r>
    </w:p>
    <w:p w14:paraId="18491EEA" w14:textId="77777777" w:rsidR="005E7A4F" w:rsidRPr="005E7A4F" w:rsidRDefault="005E7A4F" w:rsidP="005E7A4F">
      <w:pPr>
        <w:numPr>
          <w:ilvl w:val="0"/>
          <w:numId w:val="9"/>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v12 is restricting women from </w:t>
      </w:r>
      <w:r w:rsidRPr="005E7A4F">
        <w:rPr>
          <w:rFonts w:eastAsia="Times New Roman" w:cs="Calibri"/>
          <w:b/>
          <w:bCs/>
          <w:kern w:val="0"/>
          <w:sz w:val="22"/>
          <w:szCs w:val="22"/>
          <w14:ligatures w14:val="none"/>
        </w:rPr>
        <w:t>the teaching/authority role</w:t>
      </w:r>
      <w:r w:rsidRPr="005E7A4F">
        <w:rPr>
          <w:rFonts w:eastAsia="Times New Roman" w:cs="Calibri"/>
          <w:kern w:val="0"/>
          <w:sz w:val="22"/>
          <w:szCs w:val="22"/>
          <w14:ligatures w14:val="none"/>
        </w:rPr>
        <w:t xml:space="preserve"> that governs adult men in the gathered church (the role closely associated with overseers/elders).</w:t>
      </w:r>
    </w:p>
    <w:p w14:paraId="4833ACBB"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But there is also a real contextual factor in 1 Timothy:</w:t>
      </w:r>
    </w:p>
    <w:p w14:paraId="017664D8" w14:textId="77777777" w:rsidR="005E7A4F" w:rsidRPr="005E7A4F" w:rsidRDefault="005E7A4F" w:rsidP="005E7A4F">
      <w:pPr>
        <w:numPr>
          <w:ilvl w:val="0"/>
          <w:numId w:val="10"/>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Women are singled out later as being targeted and destabilized by false teachers (5:13–15; compare also the concern for deception language).</w:t>
      </w:r>
    </w:p>
    <w:p w14:paraId="36075CF4"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That context makes another reading plausible:</w:t>
      </w:r>
    </w:p>
    <w:p w14:paraId="5385D61B" w14:textId="77777777" w:rsidR="005E7A4F" w:rsidRPr="005E7A4F" w:rsidRDefault="005E7A4F" w:rsidP="005E7A4F">
      <w:pPr>
        <w:numPr>
          <w:ilvl w:val="0"/>
          <w:numId w:val="11"/>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v12 addresses a </w:t>
      </w:r>
      <w:r w:rsidRPr="005E7A4F">
        <w:rPr>
          <w:rFonts w:eastAsia="Times New Roman" w:cs="Calibri"/>
          <w:b/>
          <w:bCs/>
          <w:kern w:val="0"/>
          <w:sz w:val="22"/>
          <w:szCs w:val="22"/>
          <w14:ligatures w14:val="none"/>
        </w:rPr>
        <w:t>disorder/problem</w:t>
      </w:r>
      <w:r w:rsidRPr="005E7A4F">
        <w:rPr>
          <w:rFonts w:eastAsia="Times New Roman" w:cs="Calibri"/>
          <w:kern w:val="0"/>
          <w:sz w:val="22"/>
          <w:szCs w:val="22"/>
          <w14:ligatures w14:val="none"/>
        </w:rPr>
        <w:t xml:space="preserve">: untrained women (or certain women) asserting themselves as teachers and taking control, spreading error or creating upheaval. Under that reading, “authentein” is more like </w:t>
      </w:r>
      <w:r w:rsidRPr="005E7A4F">
        <w:rPr>
          <w:rFonts w:eastAsia="Times New Roman" w:cs="Calibri"/>
          <w:b/>
          <w:bCs/>
          <w:kern w:val="0"/>
          <w:sz w:val="22"/>
          <w:szCs w:val="22"/>
          <w14:ligatures w14:val="none"/>
        </w:rPr>
        <w:t>usurping/domineering</w:t>
      </w:r>
      <w:r w:rsidRPr="005E7A4F">
        <w:rPr>
          <w:rFonts w:eastAsia="Times New Roman" w:cs="Calibri"/>
          <w:kern w:val="0"/>
          <w:sz w:val="22"/>
          <w:szCs w:val="22"/>
          <w14:ligatures w14:val="none"/>
        </w:rPr>
        <w:t>, not simply “holding any authority.”</w:t>
      </w:r>
    </w:p>
    <w:p w14:paraId="5073AA77"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What you can say with confidence from the text itself:</w:t>
      </w:r>
    </w:p>
    <w:p w14:paraId="005F7D36" w14:textId="77777777" w:rsidR="005E7A4F" w:rsidRPr="005E7A4F" w:rsidRDefault="005E7A4F" w:rsidP="005E7A4F">
      <w:pPr>
        <w:numPr>
          <w:ilvl w:val="0"/>
          <w:numId w:val="1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Paul restricts something in the gathered-church teaching/authority dynamic between women and adult men.</w:t>
      </w:r>
    </w:p>
    <w:p w14:paraId="6A533C42" w14:textId="77777777" w:rsidR="005E7A4F" w:rsidRPr="005E7A4F" w:rsidRDefault="005E7A4F" w:rsidP="005E7A4F">
      <w:pPr>
        <w:numPr>
          <w:ilvl w:val="0"/>
          <w:numId w:val="1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He grounds it with reasons (vv13–14), which means he does not treat it as a mere etiquette note.</w:t>
      </w:r>
    </w:p>
    <w:p w14:paraId="163BA04C" w14:textId="77777777" w:rsidR="005E7A4F" w:rsidRPr="005E7A4F" w:rsidRDefault="005E7A4F" w:rsidP="005E7A4F">
      <w:pPr>
        <w:numPr>
          <w:ilvl w:val="0"/>
          <w:numId w:val="1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He wants women learning, but learning in a posture that preserves order and protects the church.</w:t>
      </w:r>
    </w:p>
    <w:p w14:paraId="08815031"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63EE0D57" w14:textId="77777777" w:rsidR="005E7A4F" w:rsidRPr="006B2541" w:rsidRDefault="005E7A4F" w:rsidP="006B2541">
      <w:pPr>
        <w:pStyle w:val="Heading2"/>
      </w:pPr>
      <w:r w:rsidRPr="006B2541">
        <w:lastRenderedPageBreak/>
        <w:t>5) Verses 13–14: Paul’s reasons (creation and deception)</w:t>
      </w:r>
    </w:p>
    <w:p w14:paraId="3E829C85"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v13 “For Adam was formed first, then Eve.”</w:t>
      </w:r>
    </w:p>
    <w:p w14:paraId="33BB72F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Paul appeals to </w:t>
      </w:r>
      <w:r w:rsidRPr="005E7A4F">
        <w:rPr>
          <w:rFonts w:eastAsia="Times New Roman" w:cs="Calibri"/>
          <w:b/>
          <w:bCs/>
          <w:kern w:val="0"/>
          <w:sz w:val="22"/>
          <w:szCs w:val="22"/>
          <w14:ligatures w14:val="none"/>
        </w:rPr>
        <w:t>creation order</w:t>
      </w:r>
      <w:r w:rsidRPr="005E7A4F">
        <w:rPr>
          <w:rFonts w:eastAsia="Times New Roman" w:cs="Calibri"/>
          <w:kern w:val="0"/>
          <w:sz w:val="22"/>
          <w:szCs w:val="22"/>
          <w14:ligatures w14:val="none"/>
        </w:rPr>
        <w:t xml:space="preserve"> (Genesis 2). That is a weighty move: he’s not merely saying, “Here’s what works in Ephesus.” He’s saying the created pattern matters.</w:t>
      </w:r>
    </w:p>
    <w:p w14:paraId="3935F646"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Interpretive options:</w:t>
      </w:r>
    </w:p>
    <w:p w14:paraId="6635AA07" w14:textId="77777777" w:rsidR="005E7A4F" w:rsidRPr="005E7A4F" w:rsidRDefault="005E7A4F" w:rsidP="005E7A4F">
      <w:pPr>
        <w:numPr>
          <w:ilvl w:val="0"/>
          <w:numId w:val="13"/>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Universal-pattern reading:</w:t>
      </w:r>
      <w:r w:rsidRPr="005E7A4F">
        <w:rPr>
          <w:rFonts w:eastAsia="Times New Roman" w:cs="Calibri"/>
          <w:kern w:val="0"/>
          <w:sz w:val="22"/>
          <w:szCs w:val="22"/>
          <w14:ligatures w14:val="none"/>
        </w:rPr>
        <w:t xml:space="preserve"> creation order implies a lasting role distinction in church governance/authoritative teaching.</w:t>
      </w:r>
    </w:p>
    <w:p w14:paraId="33C8BD23" w14:textId="77777777" w:rsidR="005E7A4F" w:rsidRPr="005E7A4F" w:rsidRDefault="005E7A4F" w:rsidP="005E7A4F">
      <w:pPr>
        <w:numPr>
          <w:ilvl w:val="0"/>
          <w:numId w:val="13"/>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Local-problem reading with creation backing:</w:t>
      </w:r>
      <w:r w:rsidRPr="005E7A4F">
        <w:rPr>
          <w:rFonts w:eastAsia="Times New Roman" w:cs="Calibri"/>
          <w:kern w:val="0"/>
          <w:sz w:val="22"/>
          <w:szCs w:val="22"/>
          <w14:ligatures w14:val="none"/>
        </w:rPr>
        <w:t xml:space="preserve"> Paul uses Genesis to expose how role-reversal plus deception played out in the Fall, warning against repeating it amid present deception.</w:t>
      </w:r>
    </w:p>
    <w:p w14:paraId="370CC573"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Either way, Paul thinks Genesis is relevant for church order.</w:t>
      </w:r>
    </w:p>
    <w:p w14:paraId="73C89EAC" w14:textId="77777777" w:rsidR="009A4455" w:rsidRDefault="009A4455" w:rsidP="005E7A4F">
      <w:pPr>
        <w:spacing w:after="0" w:line="240" w:lineRule="auto"/>
        <w:rPr>
          <w:rFonts w:eastAsia="Times New Roman" w:cs="Calibri"/>
          <w:b/>
          <w:bCs/>
          <w:kern w:val="0"/>
          <w:sz w:val="32"/>
          <w:szCs w:val="32"/>
          <w14:ligatures w14:val="none"/>
        </w:rPr>
      </w:pPr>
    </w:p>
    <w:p w14:paraId="7FFFAF87" w14:textId="66B61ECD"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v14 “Adam was not deceived… the woman… deceived…”</w:t>
      </w:r>
    </w:p>
    <w:p w14:paraId="0EFDDDAF"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This is often mishandled. Paul is not saying “women are always more gullible.” He is describing the Genesis narrative: Eve is deceived by the serpent; Adam follows into transgression.</w:t>
      </w:r>
    </w:p>
    <w:p w14:paraId="3C2E3DFE"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Inside 1 Timothy, deception is a live threat. So Paul is connecting:</w:t>
      </w:r>
    </w:p>
    <w:p w14:paraId="550D14AF" w14:textId="77777777" w:rsidR="005E7A4F" w:rsidRPr="005E7A4F" w:rsidRDefault="005E7A4F" w:rsidP="005E7A4F">
      <w:pPr>
        <w:numPr>
          <w:ilvl w:val="0"/>
          <w:numId w:val="1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then:</w:t>
      </w:r>
      <w:r w:rsidRPr="005E7A4F">
        <w:rPr>
          <w:rFonts w:eastAsia="Times New Roman" w:cs="Calibri"/>
          <w:kern w:val="0"/>
          <w:sz w:val="22"/>
          <w:szCs w:val="22"/>
          <w14:ligatures w14:val="none"/>
        </w:rPr>
        <w:t xml:space="preserve"> deception led to ruin,</w:t>
      </w:r>
    </w:p>
    <w:p w14:paraId="71DF6E7D" w14:textId="77777777" w:rsidR="005E7A4F" w:rsidRPr="005E7A4F" w:rsidRDefault="005E7A4F" w:rsidP="005E7A4F">
      <w:pPr>
        <w:numPr>
          <w:ilvl w:val="0"/>
          <w:numId w:val="1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now:</w:t>
      </w:r>
      <w:r w:rsidRPr="005E7A4F">
        <w:rPr>
          <w:rFonts w:eastAsia="Times New Roman" w:cs="Calibri"/>
          <w:kern w:val="0"/>
          <w:sz w:val="22"/>
          <w:szCs w:val="22"/>
          <w14:ligatures w14:val="none"/>
        </w:rPr>
        <w:t xml:space="preserve"> deception is wrecking people (1 Tim 4:1; 2 Tim 3:6–7 is also relevant if you widen to the Pastorals).</w:t>
      </w:r>
    </w:p>
    <w:p w14:paraId="239EA759"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So vv13–14 function as </w:t>
      </w:r>
      <w:r w:rsidRPr="005E7A4F">
        <w:rPr>
          <w:rFonts w:eastAsia="Times New Roman" w:cs="Calibri"/>
          <w:b/>
          <w:bCs/>
          <w:kern w:val="0"/>
          <w:sz w:val="22"/>
          <w:szCs w:val="22"/>
          <w14:ligatures w14:val="none"/>
        </w:rPr>
        <w:t>theological rationale</w:t>
      </w:r>
      <w:r w:rsidRPr="005E7A4F">
        <w:rPr>
          <w:rFonts w:eastAsia="Times New Roman" w:cs="Calibri"/>
          <w:kern w:val="0"/>
          <w:sz w:val="22"/>
          <w:szCs w:val="22"/>
          <w14:ligatures w14:val="none"/>
        </w:rPr>
        <w:t>: the church must not replay patterns that invite doctrinal disaster.</w:t>
      </w:r>
    </w:p>
    <w:p w14:paraId="1886D794"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0808FEDE" w14:textId="77777777" w:rsidR="005E7A4F" w:rsidRPr="006B2541" w:rsidRDefault="005E7A4F" w:rsidP="005E7A4F">
      <w:pPr>
        <w:spacing w:after="0" w:line="240" w:lineRule="auto"/>
        <w:rPr>
          <w:rFonts w:asciiTheme="majorHAnsi" w:eastAsiaTheme="majorEastAsia" w:hAnsiTheme="majorHAnsi" w:cstheme="majorBidi"/>
          <w:color w:val="0F4761" w:themeColor="accent1" w:themeShade="BF"/>
          <w:sz w:val="32"/>
          <w:szCs w:val="32"/>
        </w:rPr>
      </w:pPr>
      <w:r w:rsidRPr="006B2541">
        <w:rPr>
          <w:rFonts w:asciiTheme="majorHAnsi" w:eastAsiaTheme="majorEastAsia" w:hAnsiTheme="majorHAnsi" w:cstheme="majorBidi"/>
          <w:color w:val="0F4761" w:themeColor="accent1" w:themeShade="BF"/>
          <w:sz w:val="32"/>
          <w:szCs w:val="32"/>
        </w:rPr>
        <w:t>6) Verse 15: “saved/delivered through childbearing” (hard, but not random)</w:t>
      </w:r>
    </w:p>
    <w:p w14:paraId="5C2643AB" w14:textId="77777777" w:rsidR="005E7A4F" w:rsidRPr="005E7A4F" w:rsidRDefault="005E7A4F" w:rsidP="005E7A4F">
      <w:pPr>
        <w:spacing w:after="0" w:line="240" w:lineRule="auto"/>
        <w:ind w:left="540"/>
        <w:rPr>
          <w:rFonts w:eastAsia="Times New Roman" w:cs="Calibri"/>
          <w:kern w:val="0"/>
          <w:sz w:val="22"/>
          <w:szCs w:val="22"/>
          <w14:ligatures w14:val="none"/>
        </w:rPr>
      </w:pPr>
      <w:r w:rsidRPr="005E7A4F">
        <w:rPr>
          <w:rFonts w:eastAsia="Times New Roman" w:cs="Calibri"/>
          <w:kern w:val="0"/>
          <w:sz w:val="22"/>
          <w:szCs w:val="22"/>
          <w14:ligatures w14:val="none"/>
        </w:rPr>
        <w:t>“But she will be delivered through childbearing, if she continues in faith and love and holiness with self-control.”</w:t>
      </w:r>
    </w:p>
    <w:p w14:paraId="42FED9BA"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Key points:</w:t>
      </w:r>
    </w:p>
    <w:p w14:paraId="45F38FE8" w14:textId="77777777" w:rsidR="005E7A4F" w:rsidRPr="005E7A4F" w:rsidRDefault="005E7A4F" w:rsidP="005E7A4F">
      <w:pPr>
        <w:numPr>
          <w:ilvl w:val="0"/>
          <w:numId w:val="15"/>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The verb (σωθήσεται, </w:t>
      </w:r>
      <w:r w:rsidRPr="005E7A4F">
        <w:rPr>
          <w:rFonts w:eastAsia="Times New Roman" w:cs="Calibri"/>
          <w:i/>
          <w:iCs/>
          <w:kern w:val="0"/>
          <w:sz w:val="22"/>
          <w:szCs w:val="22"/>
          <w14:ligatures w14:val="none"/>
        </w:rPr>
        <w:t>sōthēsetai</w:t>
      </w:r>
      <w:r w:rsidRPr="005E7A4F">
        <w:rPr>
          <w:rFonts w:eastAsia="Times New Roman" w:cs="Calibri"/>
          <w:kern w:val="0"/>
          <w:sz w:val="22"/>
          <w:szCs w:val="22"/>
          <w14:ligatures w14:val="none"/>
        </w:rPr>
        <w:t xml:space="preserve">) can mean “be saved” in the full salvation sense, </w:t>
      </w:r>
      <w:r w:rsidRPr="005E7A4F">
        <w:rPr>
          <w:rFonts w:eastAsia="Times New Roman" w:cs="Calibri"/>
          <w:b/>
          <w:bCs/>
          <w:kern w:val="0"/>
          <w:sz w:val="22"/>
          <w:szCs w:val="22"/>
          <w14:ligatures w14:val="none"/>
        </w:rPr>
        <w:t>or</w:t>
      </w:r>
      <w:r w:rsidRPr="005E7A4F">
        <w:rPr>
          <w:rFonts w:eastAsia="Times New Roman" w:cs="Calibri"/>
          <w:kern w:val="0"/>
          <w:sz w:val="22"/>
          <w:szCs w:val="22"/>
          <w14:ligatures w14:val="none"/>
        </w:rPr>
        <w:t xml:space="preserve"> “be preserved/delivered” depending on context. In the Pastorals it often carries full salvation weight, but not always in a simplistic “works” way.</w:t>
      </w:r>
    </w:p>
    <w:p w14:paraId="2BE4A13B" w14:textId="77777777" w:rsidR="005E7A4F" w:rsidRPr="005E7A4F" w:rsidRDefault="005E7A4F" w:rsidP="005E7A4F">
      <w:pPr>
        <w:numPr>
          <w:ilvl w:val="0"/>
          <w:numId w:val="15"/>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“Through childbearing” (δι</w:t>
      </w:r>
      <w:r w:rsidRPr="005E7A4F">
        <w:rPr>
          <w:rFonts w:ascii="Arial" w:eastAsia="Times New Roman" w:hAnsi="Arial" w:cs="Arial"/>
          <w:kern w:val="0"/>
          <w:sz w:val="22"/>
          <w:szCs w:val="22"/>
          <w14:ligatures w14:val="none"/>
        </w:rPr>
        <w:t>ὰ</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τ</w:t>
      </w:r>
      <w:r w:rsidRPr="005E7A4F">
        <w:rPr>
          <w:rFonts w:ascii="Arial" w:eastAsia="Times New Roman" w:hAnsi="Arial" w:cs="Arial"/>
          <w:kern w:val="0"/>
          <w:sz w:val="22"/>
          <w:szCs w:val="22"/>
          <w14:ligatures w14:val="none"/>
        </w:rPr>
        <w:t>ῆ</w:t>
      </w:r>
      <w:r w:rsidRPr="005E7A4F">
        <w:rPr>
          <w:rFonts w:ascii="Aptos" w:eastAsia="Times New Roman" w:hAnsi="Aptos" w:cs="Aptos"/>
          <w:kern w:val="0"/>
          <w:sz w:val="22"/>
          <w:szCs w:val="22"/>
          <w14:ligatures w14:val="none"/>
        </w:rPr>
        <w:t>ς</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τεκνογονίας</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dia tēs teknogonias</w:t>
      </w:r>
      <w:r w:rsidRPr="005E7A4F">
        <w:rPr>
          <w:rFonts w:eastAsia="Times New Roman" w:cs="Calibri"/>
          <w:kern w:val="0"/>
          <w:sz w:val="22"/>
          <w:szCs w:val="22"/>
          <w14:ligatures w14:val="none"/>
        </w:rPr>
        <w:t>) is strange if taken as “women earn salvation by having babies.” That would contradict Paul everywhere.</w:t>
      </w:r>
    </w:p>
    <w:p w14:paraId="53F3BA6F" w14:textId="77777777" w:rsidR="009A4455" w:rsidRDefault="009A4455" w:rsidP="005E7A4F">
      <w:pPr>
        <w:spacing w:after="0" w:line="240" w:lineRule="auto"/>
        <w:rPr>
          <w:rFonts w:eastAsia="Times New Roman" w:cs="Calibri"/>
          <w:kern w:val="0"/>
          <w:sz w:val="22"/>
          <w:szCs w:val="22"/>
          <w14:ligatures w14:val="none"/>
        </w:rPr>
      </w:pPr>
    </w:p>
    <w:p w14:paraId="7D0A2820" w14:textId="3581E9D1" w:rsidR="005E7A4F" w:rsidRPr="005E7A4F" w:rsidRDefault="009A4455"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w:t>
      </w:r>
      <w:r w:rsidR="005E7A4F" w:rsidRPr="005E7A4F">
        <w:rPr>
          <w:rFonts w:eastAsia="Times New Roman" w:cs="Calibri"/>
          <w:kern w:val="0"/>
          <w:sz w:val="22"/>
          <w:szCs w:val="22"/>
          <w14:ligatures w14:val="none"/>
        </w:rPr>
        <w:t xml:space="preserve"> what does it mean?</w:t>
      </w:r>
    </w:p>
    <w:p w14:paraId="79A8E758" w14:textId="77777777" w:rsidR="009A4455" w:rsidRDefault="009A4455" w:rsidP="005E7A4F">
      <w:pPr>
        <w:spacing w:after="0" w:line="240" w:lineRule="auto"/>
        <w:rPr>
          <w:rFonts w:eastAsia="Times New Roman" w:cs="Calibri"/>
          <w:kern w:val="0"/>
          <w:sz w:val="22"/>
          <w:szCs w:val="22"/>
          <w14:ligatures w14:val="none"/>
        </w:rPr>
      </w:pPr>
    </w:p>
    <w:p w14:paraId="09B24FB6" w14:textId="4844276A"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Major interpretive options:</w:t>
      </w:r>
    </w:p>
    <w:p w14:paraId="18A8A4CE"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Option A: “the childbirth” = the birth of the Messiah</w:t>
      </w:r>
    </w:p>
    <w:p w14:paraId="18C72258"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Some read it as: “she (woman) will be saved through </w:t>
      </w:r>
      <w:r w:rsidRPr="005E7A4F">
        <w:rPr>
          <w:rFonts w:eastAsia="Times New Roman" w:cs="Calibri"/>
          <w:b/>
          <w:bCs/>
          <w:kern w:val="0"/>
          <w:sz w:val="22"/>
          <w:szCs w:val="22"/>
          <w14:ligatures w14:val="none"/>
        </w:rPr>
        <w:t>the</w:t>
      </w:r>
      <w:r w:rsidRPr="005E7A4F">
        <w:rPr>
          <w:rFonts w:eastAsia="Times New Roman" w:cs="Calibri"/>
          <w:kern w:val="0"/>
          <w:sz w:val="22"/>
          <w:szCs w:val="22"/>
          <w14:ligatures w14:val="none"/>
        </w:rPr>
        <w:t xml:space="preserve"> childbearing” — pointing to the promised seed (Genesis 3:15 → Messiah). This can fit the shift from Eve to “she,” and it fits Bible-theology. The weakness is that “childbearing” is a general term and the grammar is debated.</w:t>
      </w:r>
    </w:p>
    <w:p w14:paraId="66A5E6E7" w14:textId="77777777" w:rsidR="009A4455" w:rsidRDefault="009A4455" w:rsidP="005E7A4F">
      <w:pPr>
        <w:spacing w:after="0" w:line="240" w:lineRule="auto"/>
        <w:rPr>
          <w:rFonts w:eastAsia="Times New Roman" w:cs="Calibri"/>
          <w:b/>
          <w:bCs/>
          <w:kern w:val="0"/>
          <w:sz w:val="32"/>
          <w:szCs w:val="32"/>
          <w14:ligatures w14:val="none"/>
        </w:rPr>
      </w:pPr>
    </w:p>
    <w:p w14:paraId="2A7D4397" w14:textId="5FC01301"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Option B: preserved through the dangers/social stigma of motherhood</w:t>
      </w:r>
    </w:p>
    <w:p w14:paraId="2296C57C"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lastRenderedPageBreak/>
        <w:t>Ancient childbirth was dangerous. “Delivered/preserved through childbearing” could mean physical preservation. The weakness: the conditional “if they continue in faith…” sounds more like moral/spiritual perseverance than medical outcomes.</w:t>
      </w:r>
    </w:p>
    <w:p w14:paraId="347AD124" w14:textId="77777777" w:rsidR="009A4455" w:rsidRDefault="009A4455" w:rsidP="005E7A4F">
      <w:pPr>
        <w:spacing w:after="0" w:line="240" w:lineRule="auto"/>
        <w:rPr>
          <w:rFonts w:eastAsia="Times New Roman" w:cs="Calibri"/>
          <w:b/>
          <w:bCs/>
          <w:kern w:val="0"/>
          <w:sz w:val="32"/>
          <w:szCs w:val="32"/>
          <w14:ligatures w14:val="none"/>
        </w:rPr>
      </w:pPr>
    </w:p>
    <w:p w14:paraId="0D22E06B" w14:textId="05980815"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Option C: salvation worked out in the embraced calling, not in role-seizing</w:t>
      </w:r>
    </w:p>
    <w:p w14:paraId="0E082F7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This reads v15 as reassurance: women are not “second class” in God’s saving plan; they live out salvation in faith/love/holiness/self-control, often expressed in ordinary embodied life (including motherhood), rather than grasping status in the assembly. This fits the letter’s “godliness” ethic and the self-control theme (vv9–10, 15). It does </w:t>
      </w:r>
      <w:r w:rsidRPr="005E7A4F">
        <w:rPr>
          <w:rFonts w:eastAsia="Times New Roman" w:cs="Calibri"/>
          <w:b/>
          <w:bCs/>
          <w:kern w:val="0"/>
          <w:sz w:val="22"/>
          <w:szCs w:val="22"/>
          <w14:ligatures w14:val="none"/>
        </w:rPr>
        <w:t>not</w:t>
      </w:r>
      <w:r w:rsidRPr="005E7A4F">
        <w:rPr>
          <w:rFonts w:eastAsia="Times New Roman" w:cs="Calibri"/>
          <w:kern w:val="0"/>
          <w:sz w:val="22"/>
          <w:szCs w:val="22"/>
          <w14:ligatures w14:val="none"/>
        </w:rPr>
        <w:t xml:space="preserve"> mean all women must be mothers; it uses “childbearing” as a representative sphere of life in that culture.</w:t>
      </w:r>
    </w:p>
    <w:p w14:paraId="6B115306"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What v15 clearly does do:</w:t>
      </w:r>
      <w:r w:rsidRPr="005E7A4F">
        <w:rPr>
          <w:rFonts w:eastAsia="Times New Roman" w:cs="Calibri"/>
          <w:kern w:val="0"/>
          <w:sz w:val="22"/>
          <w:szCs w:val="22"/>
          <w14:ligatures w14:val="none"/>
        </w:rPr>
        <w:t xml:space="preserve"> it re-centers the discussion on </w:t>
      </w:r>
      <w:r w:rsidRPr="005E7A4F">
        <w:rPr>
          <w:rFonts w:eastAsia="Times New Roman" w:cs="Calibri"/>
          <w:b/>
          <w:bCs/>
          <w:kern w:val="0"/>
          <w:sz w:val="22"/>
          <w:szCs w:val="22"/>
          <w14:ligatures w14:val="none"/>
        </w:rPr>
        <w:t>persevering godliness</w:t>
      </w:r>
      <w:r w:rsidRPr="005E7A4F">
        <w:rPr>
          <w:rFonts w:eastAsia="Times New Roman" w:cs="Calibri"/>
          <w:kern w:val="0"/>
          <w:sz w:val="22"/>
          <w:szCs w:val="22"/>
          <w14:ligatures w14:val="none"/>
        </w:rPr>
        <w:t xml:space="preserve"> (faith, love, holiness, self-control). Whatever else it means, Paul is not ending with “women, stay down.” He ends with “women, continue in mature holiness.”</w:t>
      </w:r>
    </w:p>
    <w:p w14:paraId="12AAFDE0"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44DA350B" w14:textId="77777777" w:rsidR="005E7A4F" w:rsidRPr="006B2541" w:rsidRDefault="005E7A4F" w:rsidP="005E7A4F">
      <w:pPr>
        <w:spacing w:after="0" w:line="240" w:lineRule="auto"/>
        <w:rPr>
          <w:rFonts w:asciiTheme="majorHAnsi" w:eastAsiaTheme="majorEastAsia" w:hAnsiTheme="majorHAnsi" w:cstheme="majorBidi"/>
          <w:color w:val="0F4761" w:themeColor="accent1" w:themeShade="BF"/>
          <w:sz w:val="32"/>
          <w:szCs w:val="32"/>
        </w:rPr>
      </w:pPr>
      <w:r w:rsidRPr="006B2541">
        <w:rPr>
          <w:rFonts w:asciiTheme="majorHAnsi" w:eastAsiaTheme="majorEastAsia" w:hAnsiTheme="majorHAnsi" w:cstheme="majorBidi"/>
          <w:color w:val="0F4761" w:themeColor="accent1" w:themeShade="BF"/>
          <w:sz w:val="32"/>
          <w:szCs w:val="32"/>
        </w:rPr>
        <w:t>7) How this fits Paul more broadly</w:t>
      </w:r>
    </w:p>
    <w:p w14:paraId="0231C97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Two controlling Pauline realities:</w:t>
      </w:r>
    </w:p>
    <w:p w14:paraId="4B0A348B" w14:textId="77777777" w:rsidR="005E7A4F" w:rsidRPr="005E7A4F" w:rsidRDefault="005E7A4F" w:rsidP="005E7A4F">
      <w:pPr>
        <w:numPr>
          <w:ilvl w:val="0"/>
          <w:numId w:val="16"/>
        </w:numPr>
        <w:spacing w:after="0" w:line="240" w:lineRule="auto"/>
        <w:textAlignment w:val="center"/>
        <w:rPr>
          <w:rFonts w:eastAsia="Times New Roman" w:cs="Calibri"/>
          <w:b/>
          <w:bCs/>
          <w:kern w:val="0"/>
          <w:sz w:val="22"/>
          <w:szCs w:val="22"/>
          <w14:ligatures w14:val="none"/>
        </w:rPr>
      </w:pPr>
      <w:r w:rsidRPr="005E7A4F">
        <w:rPr>
          <w:rFonts w:eastAsia="Times New Roman" w:cs="Calibri"/>
          <w:b/>
          <w:bCs/>
          <w:kern w:val="0"/>
          <w:sz w:val="22"/>
          <w:szCs w:val="22"/>
          <w14:ligatures w14:val="none"/>
        </w:rPr>
        <w:t>Paul affirms women’s significant ministry</w:t>
      </w:r>
    </w:p>
    <w:p w14:paraId="618E8453" w14:textId="77777777" w:rsidR="005E7A4F" w:rsidRPr="005E7A4F" w:rsidRDefault="005E7A4F" w:rsidP="005E7A4F">
      <w:pPr>
        <w:numPr>
          <w:ilvl w:val="0"/>
          <w:numId w:val="17"/>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Women labor in the gospel (Phil 4:2–3).</w:t>
      </w:r>
    </w:p>
    <w:p w14:paraId="33774E1A" w14:textId="77777777" w:rsidR="005E7A4F" w:rsidRPr="005E7A4F" w:rsidRDefault="005E7A4F" w:rsidP="005E7A4F">
      <w:pPr>
        <w:numPr>
          <w:ilvl w:val="0"/>
          <w:numId w:val="17"/>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Women can pray and prophesy (1 Cor 11:5) with appropriate honor/order.</w:t>
      </w:r>
    </w:p>
    <w:p w14:paraId="02FC0F25" w14:textId="77777777" w:rsidR="005E7A4F" w:rsidRPr="005E7A4F" w:rsidRDefault="005E7A4F" w:rsidP="005E7A4F">
      <w:pPr>
        <w:numPr>
          <w:ilvl w:val="0"/>
          <w:numId w:val="17"/>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Paul commends women coworkers (Romans 16).</w:t>
      </w:r>
    </w:p>
    <w:p w14:paraId="1ADDADCC"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 whatever 1 Tim 2:12 means, it cannot mean “women do nothing” or “women have no voice.”</w:t>
      </w:r>
    </w:p>
    <w:p w14:paraId="45613D28" w14:textId="77777777" w:rsidR="005E7A4F" w:rsidRPr="005E7A4F" w:rsidRDefault="005E7A4F" w:rsidP="005E7A4F">
      <w:pPr>
        <w:numPr>
          <w:ilvl w:val="0"/>
          <w:numId w:val="18"/>
        </w:numPr>
        <w:spacing w:after="0" w:line="240" w:lineRule="auto"/>
        <w:textAlignment w:val="center"/>
        <w:rPr>
          <w:rFonts w:eastAsia="Times New Roman" w:cs="Calibri"/>
          <w:b/>
          <w:bCs/>
          <w:kern w:val="0"/>
          <w:sz w:val="22"/>
          <w:szCs w:val="22"/>
          <w14:ligatures w14:val="none"/>
        </w:rPr>
      </w:pPr>
      <w:r w:rsidRPr="005E7A4F">
        <w:rPr>
          <w:rFonts w:eastAsia="Times New Roman" w:cs="Calibri"/>
          <w:b/>
          <w:bCs/>
          <w:kern w:val="0"/>
          <w:sz w:val="22"/>
          <w:szCs w:val="22"/>
          <w14:ligatures w14:val="none"/>
        </w:rPr>
        <w:t>Paul also preserves ordered leadership and guards authoritative teaching</w:t>
      </w:r>
    </w:p>
    <w:p w14:paraId="3E741467" w14:textId="77777777" w:rsidR="005E7A4F" w:rsidRPr="005E7A4F" w:rsidRDefault="005E7A4F" w:rsidP="005E7A4F">
      <w:pPr>
        <w:numPr>
          <w:ilvl w:val="0"/>
          <w:numId w:val="19"/>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The gathered-church teaching that defines doctrine and binds conscience is treated as serious and guarded (Gal 1; 1 Cor 15; Pastoral Epistles).</w:t>
      </w:r>
    </w:p>
    <w:p w14:paraId="063F8A57" w14:textId="77777777" w:rsidR="005E7A4F" w:rsidRPr="005E7A4F" w:rsidRDefault="005E7A4F" w:rsidP="005E7A4F">
      <w:pPr>
        <w:numPr>
          <w:ilvl w:val="0"/>
          <w:numId w:val="19"/>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Elders/overseers are charged to teach, refute error, and shepherd (esp. in the Pastorals).</w:t>
      </w:r>
    </w:p>
    <w:p w14:paraId="4EAAD3B1" w14:textId="066FF353" w:rsidR="005E7A4F" w:rsidRPr="005E7A4F" w:rsidRDefault="009A4455"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w:t>
      </w:r>
      <w:r w:rsidR="005E7A4F" w:rsidRPr="005E7A4F">
        <w:rPr>
          <w:rFonts w:eastAsia="Times New Roman" w:cs="Calibri"/>
          <w:kern w:val="0"/>
          <w:sz w:val="22"/>
          <w:szCs w:val="22"/>
          <w14:ligatures w14:val="none"/>
        </w:rPr>
        <w:t xml:space="preserve"> 1 Tim 2:11–15 sits right at the intersection of:</w:t>
      </w:r>
    </w:p>
    <w:p w14:paraId="0A880DF6" w14:textId="77777777" w:rsidR="005E7A4F" w:rsidRPr="005E7A4F" w:rsidRDefault="005E7A4F" w:rsidP="005E7A4F">
      <w:pPr>
        <w:numPr>
          <w:ilvl w:val="0"/>
          <w:numId w:val="20"/>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women’s real participation,</w:t>
      </w:r>
    </w:p>
    <w:p w14:paraId="208C55FC" w14:textId="77777777" w:rsidR="005E7A4F" w:rsidRPr="005E7A4F" w:rsidRDefault="005E7A4F" w:rsidP="005E7A4F">
      <w:pPr>
        <w:numPr>
          <w:ilvl w:val="0"/>
          <w:numId w:val="20"/>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and the church’s need for protected, ordered doctrinal authority.</w:t>
      </w:r>
    </w:p>
    <w:p w14:paraId="42CB6031"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0F3601C2" w14:textId="77777777" w:rsidR="005E7A4F" w:rsidRPr="006B2541" w:rsidRDefault="005E7A4F" w:rsidP="005E7A4F">
      <w:pPr>
        <w:spacing w:after="0" w:line="240" w:lineRule="auto"/>
        <w:rPr>
          <w:rFonts w:asciiTheme="majorHAnsi" w:eastAsiaTheme="majorEastAsia" w:hAnsiTheme="majorHAnsi" w:cstheme="majorBidi"/>
          <w:color w:val="0F4761" w:themeColor="accent1" w:themeShade="BF"/>
          <w:sz w:val="32"/>
          <w:szCs w:val="32"/>
        </w:rPr>
      </w:pPr>
      <w:r w:rsidRPr="006B2541">
        <w:rPr>
          <w:rFonts w:asciiTheme="majorHAnsi" w:eastAsiaTheme="majorEastAsia" w:hAnsiTheme="majorHAnsi" w:cstheme="majorBidi"/>
          <w:color w:val="0F4761" w:themeColor="accent1" w:themeShade="BF"/>
          <w:sz w:val="32"/>
          <w:szCs w:val="32"/>
        </w:rPr>
        <w:t>8) Whole-Bible synthesis (brief but real)</w:t>
      </w:r>
    </w:p>
    <w:p w14:paraId="25EE2DAB" w14:textId="77777777" w:rsidR="005E7A4F" w:rsidRPr="005E7A4F" w:rsidRDefault="005E7A4F" w:rsidP="005E7A4F">
      <w:pPr>
        <w:numPr>
          <w:ilvl w:val="0"/>
          <w:numId w:val="2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Creation:</w:t>
      </w:r>
      <w:r w:rsidRPr="005E7A4F">
        <w:rPr>
          <w:rFonts w:eastAsia="Times New Roman" w:cs="Calibri"/>
          <w:kern w:val="0"/>
          <w:sz w:val="22"/>
          <w:szCs w:val="22"/>
          <w14:ligatures w14:val="none"/>
        </w:rPr>
        <w:t xml:space="preserve"> male and female equally bear God’s image (Gen 1:27). Any reading that implies female inferiority is off.</w:t>
      </w:r>
    </w:p>
    <w:p w14:paraId="3D5AC9D2" w14:textId="77777777" w:rsidR="005E7A4F" w:rsidRPr="005E7A4F" w:rsidRDefault="005E7A4F" w:rsidP="005E7A4F">
      <w:pPr>
        <w:numPr>
          <w:ilvl w:val="0"/>
          <w:numId w:val="2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Fall:</w:t>
      </w:r>
      <w:r w:rsidRPr="005E7A4F">
        <w:rPr>
          <w:rFonts w:eastAsia="Times New Roman" w:cs="Calibri"/>
          <w:kern w:val="0"/>
          <w:sz w:val="22"/>
          <w:szCs w:val="22"/>
          <w14:ligatures w14:val="none"/>
        </w:rPr>
        <w:t xml:space="preserve"> deception and disorder enter; grasping, domination, and blame rupture relationships (Gen 3).</w:t>
      </w:r>
    </w:p>
    <w:p w14:paraId="5EFD48D1" w14:textId="77777777" w:rsidR="005E7A4F" w:rsidRPr="005E7A4F" w:rsidRDefault="005E7A4F" w:rsidP="005E7A4F">
      <w:pPr>
        <w:numPr>
          <w:ilvl w:val="0"/>
          <w:numId w:val="2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Redemption:</w:t>
      </w:r>
      <w:r w:rsidRPr="005E7A4F">
        <w:rPr>
          <w:rFonts w:eastAsia="Times New Roman" w:cs="Calibri"/>
          <w:kern w:val="0"/>
          <w:sz w:val="22"/>
          <w:szCs w:val="22"/>
          <w14:ligatures w14:val="none"/>
        </w:rPr>
        <w:t xml:space="preserve"> women are honored as disciples, witnesses, and coworkers in the gospel (Gospels/Acts/Paul).</w:t>
      </w:r>
    </w:p>
    <w:p w14:paraId="35DF575D" w14:textId="77777777" w:rsidR="005E7A4F" w:rsidRPr="005E7A4F" w:rsidRDefault="005E7A4F" w:rsidP="005E7A4F">
      <w:pPr>
        <w:numPr>
          <w:ilvl w:val="0"/>
          <w:numId w:val="2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Church order:</w:t>
      </w:r>
      <w:r w:rsidRPr="005E7A4F">
        <w:rPr>
          <w:rFonts w:eastAsia="Times New Roman" w:cs="Calibri"/>
          <w:kern w:val="0"/>
          <w:sz w:val="22"/>
          <w:szCs w:val="22"/>
          <w14:ligatures w14:val="none"/>
        </w:rPr>
        <w:t xml:space="preserve"> the NT repeatedly insists that the church must be protected from false teaching and must worship in peace and good order.</w:t>
      </w:r>
    </w:p>
    <w:p w14:paraId="542751AB" w14:textId="05C93AA1" w:rsidR="005E7A4F" w:rsidRPr="005E7A4F" w:rsidRDefault="009A4455"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w:t>
      </w:r>
      <w:r w:rsidR="005E7A4F" w:rsidRPr="005E7A4F">
        <w:rPr>
          <w:rFonts w:eastAsia="Times New Roman" w:cs="Calibri"/>
          <w:kern w:val="0"/>
          <w:sz w:val="22"/>
          <w:szCs w:val="22"/>
          <w14:ligatures w14:val="none"/>
        </w:rPr>
        <w:t xml:space="preserve"> 1 Tim 2:9–15 is best read as:</w:t>
      </w:r>
    </w:p>
    <w:p w14:paraId="0374E085"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a call to visible godliness,</w:t>
      </w:r>
    </w:p>
    <w:p w14:paraId="35D60829"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an insistence that women be taught as learners,</w:t>
      </w:r>
    </w:p>
    <w:p w14:paraId="6F03EF6C"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a restriction on a woman taking the doctrinal-teaching/authority posture over adult men in the gathered assembly,</w:t>
      </w:r>
    </w:p>
    <w:p w14:paraId="0504FCF9"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grounded in Genesis, and</w:t>
      </w:r>
    </w:p>
    <w:p w14:paraId="2B697DF4"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framed with a closing reassurance about persevering salvation expressed in mature holiness.</w:t>
      </w:r>
    </w:p>
    <w:p w14:paraId="0911B48A"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lastRenderedPageBreak/>
        <w:t> </w:t>
      </w:r>
    </w:p>
    <w:p w14:paraId="7CBF4CB0" w14:textId="77777777" w:rsidR="00B01A07" w:rsidRDefault="00B01A07" w:rsidP="005E7A4F">
      <w:pPr>
        <w:spacing w:after="0" w:line="240" w:lineRule="auto"/>
        <w:rPr>
          <w:rFonts w:eastAsia="Times New Roman" w:cs="Calibri"/>
          <w:b/>
          <w:bCs/>
          <w:kern w:val="0"/>
          <w:sz w:val="36"/>
          <w:szCs w:val="36"/>
          <w14:ligatures w14:val="none"/>
        </w:rPr>
      </w:pPr>
    </w:p>
    <w:p w14:paraId="440A80E8" w14:textId="4A240F37" w:rsidR="00AE267D" w:rsidRDefault="00AE267D" w:rsidP="00AE267D">
      <w:pPr>
        <w:pStyle w:val="Heading1"/>
      </w:pPr>
      <w:bookmarkStart w:id="0" w:name="header"/>
      <w:bookmarkStart w:id="1" w:name="Xd9cc730c9e480d1960bc797a24a941207466089"/>
      <w:bookmarkStart w:id="2" w:name="content"/>
      <w:bookmarkEnd w:id="0"/>
      <w:r>
        <w:t>The “Ephesus-culture” hypothesis for 1 Timothy 2:12</w:t>
      </w:r>
    </w:p>
    <w:p w14:paraId="3BF4A163" w14:textId="5C117537" w:rsidR="00AE267D" w:rsidRDefault="00AE267D" w:rsidP="00AE267D">
      <w:pPr>
        <w:pStyle w:val="FirstParagraph"/>
      </w:pPr>
      <w:bookmarkStart w:id="3" w:name="executive-summary"/>
      <w:r>
        <w:t xml:space="preserve">Within </w:t>
      </w:r>
      <w:r>
        <w:rPr>
          <w:b/>
          <w:bCs/>
        </w:rPr>
        <w:t>1 Timothy itself</w:t>
      </w:r>
      <w:r>
        <w:t xml:space="preserve">, Paul’s stated mission in Ephesus is to stop </w:t>
      </w:r>
      <w:r>
        <w:rPr>
          <w:b/>
          <w:bCs/>
        </w:rPr>
        <w:t>heterodox teaching</w:t>
      </w:r>
      <w:r>
        <w:t xml:space="preserve"> (1:3) and to order the church’s public life as “God’s household…pillar and foundation of the truth” (3:15). </w:t>
      </w:r>
      <w:hyperlink r:id="rId7">
        <w:r>
          <w:rPr>
            <w:rStyle w:val="Hyperlink"/>
          </w:rPr>
          <w:t>[1]</w:t>
        </w:r>
      </w:hyperlink>
      <w:r>
        <w:t xml:space="preserve"> The letter </w:t>
      </w:r>
      <w:r>
        <w:rPr>
          <w:b/>
          <w:bCs/>
        </w:rPr>
        <w:t>does contain</w:t>
      </w:r>
      <w:r>
        <w:t xml:space="preserve"> locally inflected directions (notably </w:t>
      </w:r>
      <w:r>
        <w:rPr>
          <w:b/>
          <w:bCs/>
        </w:rPr>
        <w:t>women’s status-display in dress</w:t>
      </w:r>
      <w:r>
        <w:t xml:space="preserve">, 2:9; and </w:t>
      </w:r>
      <w:r>
        <w:rPr>
          <w:b/>
          <w:bCs/>
        </w:rPr>
        <w:t>younger widows’ household-disruptive patterns</w:t>
      </w:r>
      <w:r>
        <w:t xml:space="preserve">, 5:13–15), but </w:t>
      </w:r>
      <w:r>
        <w:rPr>
          <w:b/>
          <w:bCs/>
        </w:rPr>
        <w:t>v.12 is not explicitly grounded in Ephesian culture</w:t>
      </w:r>
      <w:r>
        <w:t xml:space="preserve">; it is grammatically framed as a general rule for the assembly and </w:t>
      </w:r>
      <w:r>
        <w:rPr>
          <w:b/>
          <w:bCs/>
        </w:rPr>
        <w:t>explicitly justified by Genesis (creation/fall)</w:t>
      </w:r>
      <w:r>
        <w:t xml:space="preserve"> (2:13–14). </w:t>
      </w:r>
      <w:hyperlink r:id="rId8">
        <w:r>
          <w:rPr>
            <w:rStyle w:val="Hyperlink"/>
          </w:rPr>
          <w:t>[2]</w:t>
        </w:r>
      </w:hyperlink>
      <w:r>
        <w:t xml:space="preserve"> Best internal judgment: </w:t>
      </w:r>
      <w:r>
        <w:rPr>
          <w:b/>
          <w:bCs/>
        </w:rPr>
        <w:t>mixed setting, primarily theological rationale</w:t>
      </w:r>
      <w:r>
        <w:t xml:space="preserve">; local disorder/false teaching explains urgency and adjacent applications, but </w:t>
      </w:r>
      <w:r>
        <w:rPr>
          <w:b/>
          <w:bCs/>
        </w:rPr>
        <w:t>Paul’s own “for” reasons point beyond local custom</w:t>
      </w:r>
      <w:r>
        <w:t>.</w:t>
      </w:r>
    </w:p>
    <w:p w14:paraId="32E030ED" w14:textId="77777777" w:rsidR="00AE267D" w:rsidRDefault="00AE267D" w:rsidP="00AE267D">
      <w:pPr>
        <w:pStyle w:val="Heading2"/>
      </w:pPr>
      <w:bookmarkStart w:id="4" w:name="Xdbc9840e73b3cc4758d3d6405531703b25136a3"/>
      <w:bookmarkEnd w:id="3"/>
      <w:r>
        <w:t>Internal passages bearing on teaching, authority, women, and local problems</w:t>
      </w:r>
    </w:p>
    <w:p w14:paraId="5DC1C565" w14:textId="77777777" w:rsidR="00AE267D" w:rsidRDefault="00AE267D" w:rsidP="00AE267D">
      <w:pPr>
        <w:pStyle w:val="FirstParagraph"/>
      </w:pPr>
      <w:r>
        <w:t xml:space="preserve">The “bearing” passages in 1 Timothy cluster around (a) </w:t>
      </w:r>
      <w:r>
        <w:rPr>
          <w:b/>
          <w:bCs/>
        </w:rPr>
        <w:t>false teaching / doctrinal guardianship</w:t>
      </w:r>
      <w:r>
        <w:t xml:space="preserve">, (b) </w:t>
      </w:r>
      <w:r>
        <w:rPr>
          <w:b/>
          <w:bCs/>
        </w:rPr>
        <w:t>public worship order</w:t>
      </w:r>
      <w:r>
        <w:t xml:space="preserve">, (c) </w:t>
      </w:r>
      <w:r>
        <w:rPr>
          <w:b/>
          <w:bCs/>
        </w:rPr>
        <w:t>recognized leadership and teaching authority</w:t>
      </w:r>
      <w:r>
        <w:t xml:space="preserve">, and (d) </w:t>
      </w:r>
      <w:r>
        <w:rPr>
          <w:b/>
          <w:bCs/>
        </w:rPr>
        <w:t>women’s conduct and widow-management</w:t>
      </w:r>
      <w:r>
        <w:t xml:space="preserve">: </w:t>
      </w:r>
      <w:r>
        <w:rPr>
          <w:b/>
          <w:bCs/>
        </w:rPr>
        <w:t>1:3–7,18–20; 2:1–15; 3:1–7,11,15; 4:1–16; 5:3–17; 6:3–5,20–21</w:t>
      </w:r>
      <w:r>
        <w:t xml:space="preserve">. </w:t>
      </w:r>
      <w:hyperlink r:id="rId9">
        <w:r>
          <w:rPr>
            <w:rStyle w:val="Hyperlink"/>
          </w:rPr>
          <w:t>[3]</w:t>
        </w:r>
      </w:hyperlink>
    </w:p>
    <w:p w14:paraId="6DBE909A" w14:textId="77777777" w:rsidR="00AE267D" w:rsidRDefault="00AE267D" w:rsidP="00AE267D">
      <w:pPr>
        <w:pStyle w:val="Heading2"/>
      </w:pPr>
      <w:bookmarkStart w:id="5" w:name="Xd213d93d7031dab0ec92ec4792f3b8bf0824b43"/>
      <w:bookmarkEnd w:id="4"/>
      <w:r>
        <w:t>Passage-by-passage internal analysis of “local” vs “trans-local” signals</w:t>
      </w:r>
    </w:p>
    <w:p w14:paraId="42BE46C7" w14:textId="77777777" w:rsidR="00AE267D" w:rsidRDefault="00AE267D" w:rsidP="00AE267D">
      <w:pPr>
        <w:pStyle w:val="FirstParagraph"/>
      </w:pPr>
      <w:r>
        <w:t xml:space="preserve">Paul explicitly situates Timothy “in </w:t>
      </w:r>
      <w:r>
        <w:rPr>
          <w:b/>
          <w:bCs/>
        </w:rPr>
        <w:t>Ephesus</w:t>
      </w:r>
      <w:r>
        <w:t xml:space="preserve">” to command certain persons “not to teach different doctrine” (1:3), and he repeatedly frames threats as doctrinal corruption and conscience-ruin (1:7; 1:19–20; 4:1; 6:3; 6:20). </w:t>
      </w:r>
      <w:hyperlink r:id="rId10">
        <w:r>
          <w:rPr>
            <w:rStyle w:val="Hyperlink"/>
          </w:rPr>
          <w:t>[4]</w:t>
        </w:r>
      </w:hyperlink>
      <w:r>
        <w:t xml:space="preserve"> This creates a </w:t>
      </w:r>
      <w:r>
        <w:rPr>
          <w:i/>
          <w:iCs/>
        </w:rPr>
        <w:t>local problem-field</w:t>
      </w:r>
      <w:r>
        <w:t xml:space="preserve"> (false teaching in that congregation), but the rhetoric tends to universalize the remedy: Paul aims at “how one ought to behave in God’s household” (3:15), moving from problem to enduring ecclesial norms. </w:t>
      </w:r>
      <w:hyperlink r:id="rId11">
        <w:r>
          <w:rPr>
            <w:rStyle w:val="Hyperlink"/>
          </w:rPr>
          <w:t>[5]</w:t>
        </w:r>
      </w:hyperlink>
    </w:p>
    <w:p w14:paraId="18AE0A40" w14:textId="77777777" w:rsidR="00AE267D" w:rsidRDefault="00AE267D" w:rsidP="00AE267D">
      <w:pPr>
        <w:pStyle w:val="BodyText"/>
      </w:pPr>
      <w:r>
        <w:t xml:space="preserve">In 2:9–10 Paul targets women’s adornment using culturally recognizable markers of </w:t>
      </w:r>
      <w:r>
        <w:rPr>
          <w:b/>
          <w:bCs/>
        </w:rPr>
        <w:t>wealth/status display</w:t>
      </w:r>
      <w:r>
        <w:t xml:space="preserve"> (“braided hair…gold…pearls…costly”), contrasting external display with “good works” (2:9). </w:t>
      </w:r>
      <w:hyperlink r:id="rId12">
        <w:r>
          <w:rPr>
            <w:rStyle w:val="Hyperlink"/>
          </w:rPr>
          <w:t>[6]</w:t>
        </w:r>
      </w:hyperlink>
      <w:r>
        <w:t xml:space="preserve"> This is the letter’s clearest </w:t>
      </w:r>
      <w:r>
        <w:rPr>
          <w:i/>
          <w:iCs/>
        </w:rPr>
        <w:t>internal</w:t>
      </w:r>
      <w:r>
        <w:t xml:space="preserve"> sign that Paul is correcting behavior with strong social/cultural valence.</w:t>
      </w:r>
    </w:p>
    <w:p w14:paraId="67CBF770" w14:textId="77777777" w:rsidR="00AE267D" w:rsidRDefault="00AE267D" w:rsidP="00AE267D">
      <w:pPr>
        <w:pStyle w:val="BodyText"/>
      </w:pPr>
      <w:r>
        <w:t xml:space="preserve">Later, 5:13–15 describes younger widows “going about from house to house…gossips and busybodies…saying what they should not,” with the sobering note that “some have already turned aside after Satan” (5:13–15). </w:t>
      </w:r>
      <w:hyperlink r:id="rId13">
        <w:r>
          <w:rPr>
            <w:rStyle w:val="Hyperlink"/>
          </w:rPr>
          <w:t>[7]</w:t>
        </w:r>
      </w:hyperlink>
      <w:r>
        <w:t xml:space="preserve"> That portrait is not overtly “Ephesus-culture,” but it is a situational management of a specific vulnerable subgroup in that church (cf. 5:14’s pragmatic aim: deny “the adversary occasion for slander”). </w:t>
      </w:r>
      <w:hyperlink r:id="rId14">
        <w:r>
          <w:rPr>
            <w:rStyle w:val="Hyperlink"/>
          </w:rPr>
          <w:t>[8]</w:t>
        </w:r>
      </w:hyperlink>
      <w:r>
        <w:t xml:space="preserve"> These two loci (2:9–10; </w:t>
      </w:r>
      <w:r>
        <w:lastRenderedPageBreak/>
        <w:t xml:space="preserve">5:13–15) provide the strongest </w:t>
      </w:r>
      <w:r>
        <w:rPr>
          <w:i/>
          <w:iCs/>
        </w:rPr>
        <w:t>internal</w:t>
      </w:r>
      <w:r>
        <w:t xml:space="preserve"> evidence that Paul adapts instruction to socially embedded patterns that could damage witness and order.</w:t>
      </w:r>
    </w:p>
    <w:p w14:paraId="16E07AC0" w14:textId="77777777" w:rsidR="00AE267D" w:rsidRDefault="00AE267D" w:rsidP="00AE267D">
      <w:pPr>
        <w:pStyle w:val="BodyText"/>
      </w:pPr>
      <w:r>
        <w:t xml:space="preserve">By contrast, the letter’s teaching/authority material is framed as durable guardianship: overseers must be “able to teach” (3:2), elders who “rule well” are worthy of honor, “especially those who labor in…teaching” (5:17), and Timothy is repeatedly charged to “command and teach” sound doctrine (4:11), while false teachers are to be resisted (6:3). </w:t>
      </w:r>
      <w:hyperlink r:id="rId15">
        <w:r>
          <w:rPr>
            <w:rStyle w:val="Hyperlink"/>
          </w:rPr>
          <w:t>[9]</w:t>
        </w:r>
      </w:hyperlink>
      <w:r>
        <w:t xml:space="preserve"> This cluster reads less like etiquette in a particular city and more like the architecture of church fidelity.</w:t>
      </w:r>
    </w:p>
    <w:p w14:paraId="3CD1E347" w14:textId="77777777" w:rsidR="00AE267D" w:rsidRDefault="00AE267D" w:rsidP="00AE267D">
      <w:pPr>
        <w:pStyle w:val="Heading2"/>
      </w:pPr>
      <w:bookmarkStart w:id="6" w:name="Xc2e84a90e57b161daeebd8341319f3d82430b23"/>
      <w:bookmarkEnd w:id="5"/>
      <w:r>
        <w:t>The grammar and stated rationale of 2:11–14</w:t>
      </w:r>
    </w:p>
    <w:p w14:paraId="5B08F83A" w14:textId="77777777" w:rsidR="00AE267D" w:rsidRDefault="00AE267D" w:rsidP="00AE267D">
      <w:pPr>
        <w:pStyle w:val="FirstParagraph"/>
      </w:pPr>
      <w:r>
        <w:t xml:space="preserve">The syntax of 2:12 is blunt: Paul’s “I do not permit” governs two infinitives joined by </w:t>
      </w:r>
      <w:r>
        <w:rPr>
          <w:b/>
          <w:bCs/>
        </w:rPr>
        <w:t>ο</w:t>
      </w:r>
      <w:r>
        <w:rPr>
          <w:rFonts w:ascii="Arial" w:hAnsi="Arial" w:cs="Arial"/>
          <w:b/>
          <w:bCs/>
        </w:rPr>
        <w:t>ὐ</w:t>
      </w:r>
      <w:r>
        <w:rPr>
          <w:b/>
          <w:bCs/>
        </w:rPr>
        <w:t>δ</w:t>
      </w:r>
      <w:r>
        <w:rPr>
          <w:rFonts w:ascii="Arial" w:hAnsi="Arial" w:cs="Arial"/>
          <w:b/>
          <w:bCs/>
        </w:rPr>
        <w:t>ὲ</w:t>
      </w:r>
      <w:r>
        <w:t xml:space="preserve"> (“not…nor”): </w:t>
      </w:r>
      <w:r>
        <w:rPr>
          <w:b/>
          <w:bCs/>
        </w:rPr>
        <w:t>διδάσκειν…ο</w:t>
      </w:r>
      <w:r>
        <w:rPr>
          <w:rFonts w:ascii="Arial" w:hAnsi="Arial" w:cs="Arial"/>
          <w:b/>
          <w:bCs/>
        </w:rPr>
        <w:t>ὐ</w:t>
      </w:r>
      <w:r>
        <w:rPr>
          <w:b/>
          <w:bCs/>
        </w:rPr>
        <w:t>δ</w:t>
      </w:r>
      <w:r>
        <w:rPr>
          <w:rFonts w:ascii="Arial" w:hAnsi="Arial" w:cs="Arial"/>
          <w:b/>
          <w:bCs/>
        </w:rPr>
        <w:t>ὲ</w:t>
      </w:r>
      <w:r>
        <w:rPr>
          <w:b/>
          <w:bCs/>
        </w:rPr>
        <w:t xml:space="preserve"> α</w:t>
      </w:r>
      <w:r>
        <w:rPr>
          <w:rFonts w:ascii="Arial" w:hAnsi="Arial" w:cs="Arial"/>
          <w:b/>
          <w:bCs/>
        </w:rPr>
        <w:t>ὐ</w:t>
      </w:r>
      <w:r>
        <w:rPr>
          <w:b/>
          <w:bCs/>
        </w:rPr>
        <w:t>θεντε</w:t>
      </w:r>
      <w:r>
        <w:rPr>
          <w:rFonts w:ascii="Arial" w:hAnsi="Arial" w:cs="Arial"/>
          <w:b/>
          <w:bCs/>
        </w:rPr>
        <w:t>ῖ</w:t>
      </w:r>
      <w:r>
        <w:rPr>
          <w:b/>
          <w:bCs/>
        </w:rPr>
        <w:t xml:space="preserve">ν </w:t>
      </w:r>
      <w:r>
        <w:rPr>
          <w:rFonts w:ascii="Arial" w:hAnsi="Arial" w:cs="Arial"/>
          <w:b/>
          <w:bCs/>
        </w:rPr>
        <w:t>ἀ</w:t>
      </w:r>
      <w:r>
        <w:rPr>
          <w:b/>
          <w:bCs/>
        </w:rPr>
        <w:t>νδρός</w:t>
      </w:r>
      <w:r>
        <w:t xml:space="preserve">, followed by </w:t>
      </w:r>
      <w:r>
        <w:rPr>
          <w:rFonts w:ascii="Arial" w:hAnsi="Arial" w:cs="Arial"/>
          <w:b/>
          <w:bCs/>
        </w:rPr>
        <w:t>ἀ</w:t>
      </w:r>
      <w:r>
        <w:rPr>
          <w:b/>
          <w:bCs/>
        </w:rPr>
        <w:t>λλ’ ε</w:t>
      </w:r>
      <w:r>
        <w:rPr>
          <w:rFonts w:ascii="Arial" w:hAnsi="Arial" w:cs="Arial"/>
          <w:b/>
          <w:bCs/>
        </w:rPr>
        <w:t>ἶ</w:t>
      </w:r>
      <w:r>
        <w:rPr>
          <w:b/>
          <w:bCs/>
        </w:rPr>
        <w:t xml:space="preserve">ναι </w:t>
      </w:r>
      <w:r>
        <w:rPr>
          <w:rFonts w:ascii="Arial" w:hAnsi="Arial" w:cs="Arial"/>
          <w:b/>
          <w:bCs/>
        </w:rPr>
        <w:t>ἐ</w:t>
      </w:r>
      <w:r>
        <w:rPr>
          <w:b/>
          <w:bCs/>
        </w:rPr>
        <w:t xml:space="preserve">ν </w:t>
      </w:r>
      <w:r>
        <w:rPr>
          <w:rFonts w:ascii="Arial" w:hAnsi="Arial" w:cs="Arial"/>
          <w:b/>
          <w:bCs/>
        </w:rPr>
        <w:t>ἡ</w:t>
      </w:r>
      <w:r>
        <w:rPr>
          <w:b/>
          <w:bCs/>
        </w:rPr>
        <w:t>συχί</w:t>
      </w:r>
      <w:r>
        <w:rPr>
          <w:rFonts w:ascii="Arial" w:hAnsi="Arial" w:cs="Arial"/>
          <w:b/>
          <w:bCs/>
        </w:rPr>
        <w:t>ᾳ</w:t>
      </w:r>
      <w:r>
        <w:t xml:space="preserve"> (“but to be in quietness”). </w:t>
      </w:r>
      <w:hyperlink r:id="rId16">
        <w:r>
          <w:rPr>
            <w:rStyle w:val="Hyperlink"/>
          </w:rPr>
          <w:t>[10]</w:t>
        </w:r>
      </w:hyperlink>
      <w:r>
        <w:t xml:space="preserve"> Lexically, </w:t>
      </w:r>
      <w:r>
        <w:rPr>
          <w:b/>
          <w:bCs/>
        </w:rPr>
        <w:t>διδάσκω</w:t>
      </w:r>
      <w:r>
        <w:t xml:space="preserve"> is “to teach” (broadly: instruct/serve as teacher), </w:t>
      </w:r>
      <w:r>
        <w:rPr>
          <w:b/>
          <w:bCs/>
        </w:rPr>
        <w:t>α</w:t>
      </w:r>
      <w:r>
        <w:rPr>
          <w:rFonts w:ascii="Arial" w:hAnsi="Arial" w:cs="Arial"/>
          <w:b/>
          <w:bCs/>
        </w:rPr>
        <w:t>ὐ</w:t>
      </w:r>
      <w:r>
        <w:rPr>
          <w:b/>
          <w:bCs/>
        </w:rPr>
        <w:t>θεντέω</w:t>
      </w:r>
      <w:r>
        <w:t xml:space="preserve"> has a semantic profile of acting on one’s own authority / “dominate…usurp authority over,” and </w:t>
      </w:r>
      <w:r>
        <w:rPr>
          <w:rFonts w:ascii="Arial" w:hAnsi="Arial" w:cs="Arial"/>
          <w:b/>
          <w:bCs/>
        </w:rPr>
        <w:t>ἡ</w:t>
      </w:r>
      <w:r>
        <w:rPr>
          <w:b/>
          <w:bCs/>
        </w:rPr>
        <w:t>συχία</w:t>
      </w:r>
      <w:r>
        <w:t xml:space="preserve"> denotes “stillness…quietness/silence” (not bustling/meddling). </w:t>
      </w:r>
      <w:hyperlink r:id="rId17">
        <w:r>
          <w:rPr>
            <w:rStyle w:val="Hyperlink"/>
          </w:rPr>
          <w:t>[11]</w:t>
        </w:r>
      </w:hyperlink>
      <w:r>
        <w:t xml:space="preserve"> The posture also includes “all </w:t>
      </w:r>
      <w:r>
        <w:rPr>
          <w:rFonts w:ascii="Arial" w:hAnsi="Arial" w:cs="Arial"/>
          <w:b/>
          <w:bCs/>
        </w:rPr>
        <w:t>ὑ</w:t>
      </w:r>
      <w:r>
        <w:rPr>
          <w:b/>
          <w:bCs/>
        </w:rPr>
        <w:t>ποταγή</w:t>
      </w:r>
      <w:r>
        <w:t xml:space="preserve">” (submission/subjection) in 2:11. </w:t>
      </w:r>
      <w:hyperlink r:id="rId18">
        <w:r>
          <w:rPr>
            <w:rStyle w:val="Hyperlink"/>
          </w:rPr>
          <w:t>[12]</w:t>
        </w:r>
      </w:hyperlink>
    </w:p>
    <w:p w14:paraId="0227B652" w14:textId="479E3F3D" w:rsidR="00AE267D" w:rsidRDefault="00AE267D" w:rsidP="00AE267D">
      <w:pPr>
        <w:pStyle w:val="BodyText"/>
      </w:pPr>
      <w:r>
        <w:t xml:space="preserve">Most decisively, Paul then supplies explicit </w:t>
      </w:r>
      <w:r>
        <w:rPr>
          <w:b/>
          <w:bCs/>
        </w:rPr>
        <w:t>γάρ</w:t>
      </w:r>
      <w:r>
        <w:t xml:space="preserve">-reasons (2:13–14): </w:t>
      </w:r>
      <w:r>
        <w:rPr>
          <w:b/>
          <w:bCs/>
        </w:rPr>
        <w:t>Adam formed first, then Eve; Adam not deceived; the woman deceived and became in transgression</w:t>
      </w:r>
      <w:r>
        <w:t xml:space="preserve">. </w:t>
      </w:r>
      <w:hyperlink r:id="rId19">
        <w:r>
          <w:rPr>
            <w:rStyle w:val="Hyperlink"/>
          </w:rPr>
          <w:t>[13]</w:t>
        </w:r>
      </w:hyperlink>
      <w:r>
        <w:t xml:space="preserve"> Whatever one does with these premises, they are not “Ephesus custom” premises; they are </w:t>
      </w:r>
      <w:r>
        <w:rPr>
          <w:b/>
          <w:bCs/>
        </w:rPr>
        <w:t>Genesis</w:t>
      </w:r>
      <w:r>
        <w:t xml:space="preserve"> premises. Internally, that weighs heavily against reading v.12 as </w:t>
      </w:r>
      <w:r>
        <w:rPr>
          <w:i/>
          <w:iCs/>
        </w:rPr>
        <w:t>primarily</w:t>
      </w:r>
      <w:r>
        <w:t xml:space="preserve"> a culturally contingent stopgap. If Paul wanted to ground the rule in local reputation dynamics, he had nearby resources (e.g., “so that the adversary has no occasion for slander,” 5:14); he does not use that kind of rationale in 2:13–14. </w:t>
      </w:r>
      <w:hyperlink r:id="rId20">
        <w:r>
          <w:rPr>
            <w:rStyle w:val="Hyperlink"/>
          </w:rPr>
          <w:t>[8]</w:t>
        </w:r>
      </w:hyperlink>
    </w:p>
    <w:p w14:paraId="488A14D2" w14:textId="77777777" w:rsidR="00AE267D" w:rsidRDefault="00AE267D" w:rsidP="00AE267D">
      <w:pPr>
        <w:pStyle w:val="Heading2"/>
      </w:pPr>
      <w:bookmarkStart w:id="7" w:name="X149712726226947a3e9b439a0275fbf2bfe5f74"/>
      <w:bookmarkEnd w:id="6"/>
      <w:r>
        <w:t>How 2:11–15 connects to chapter 3 and the letter’s structure</w:t>
      </w:r>
    </w:p>
    <w:p w14:paraId="744D9C7F" w14:textId="77777777" w:rsidR="00AE267D" w:rsidRDefault="00AE267D" w:rsidP="00AE267D">
      <w:pPr>
        <w:pStyle w:val="FirstParagraph"/>
      </w:pPr>
      <w:r>
        <w:t xml:space="preserve">The macro-flow is: </w:t>
      </w:r>
      <w:r>
        <w:rPr>
          <w:b/>
          <w:bCs/>
        </w:rPr>
        <w:t>ordered worship</w:t>
      </w:r>
      <w:r>
        <w:t xml:space="preserve"> (2:1–15) → </w:t>
      </w:r>
      <w:r>
        <w:rPr>
          <w:b/>
          <w:bCs/>
        </w:rPr>
        <w:t>qualified overseers/deacons</w:t>
      </w:r>
      <w:r>
        <w:t xml:space="preserve"> (3:1–13) → </w:t>
      </w:r>
      <w:r>
        <w:rPr>
          <w:b/>
          <w:bCs/>
        </w:rPr>
        <w:t>purpose statement about God’s household and truth</w:t>
      </w:r>
      <w:r>
        <w:t xml:space="preserve"> (3:15) → renewed emphasis on deceptive teaching and disciplined instruction (chs. 4–6). </w:t>
      </w:r>
      <w:hyperlink r:id="rId21">
        <w:r>
          <w:rPr>
            <w:rStyle w:val="Hyperlink"/>
          </w:rPr>
          <w:t>[14]</w:t>
        </w:r>
      </w:hyperlink>
      <w:r>
        <w:t xml:space="preserve"> This structure makes 2:11–12 read less like an isolated cultural accommodation and more like a boundary condition for who may occupy the congregation-shaping teaching/authority space that chapter 3 immediately regulates (“able to teach,” 3:2). </w:t>
      </w:r>
      <w:hyperlink r:id="rId22">
        <w:r>
          <w:rPr>
            <w:rStyle w:val="Hyperlink"/>
          </w:rPr>
          <w:t>[15]</w:t>
        </w:r>
      </w:hyperlink>
    </w:p>
    <w:p w14:paraId="6079ADAB" w14:textId="77777777" w:rsidR="00AE267D" w:rsidRDefault="00AE267D" w:rsidP="00AE267D">
      <w:pPr>
        <w:pStyle w:val="Heading2"/>
      </w:pPr>
      <w:bookmarkStart w:id="8" w:name="X60847470c1ed11a8e8644bfaf0356f354c93bcf"/>
      <w:bookmarkEnd w:id="7"/>
      <w:r>
        <w:t>Pastoral Epistles-only comparison for “local vs universal” reasoning patterns</w:t>
      </w:r>
    </w:p>
    <w:p w14:paraId="37086ACA" w14:textId="77777777" w:rsidR="00AE267D" w:rsidRDefault="00AE267D" w:rsidP="00AE267D">
      <w:pPr>
        <w:pStyle w:val="FirstParagraph"/>
      </w:pPr>
      <w:r>
        <w:t xml:space="preserve">Across the Pastorals, Paul mixes </w:t>
      </w:r>
      <w:r>
        <w:rPr>
          <w:b/>
          <w:bCs/>
        </w:rPr>
        <w:t>situational management</w:t>
      </w:r>
      <w:r>
        <w:t xml:space="preserve"> with </w:t>
      </w:r>
      <w:r>
        <w:rPr>
          <w:b/>
          <w:bCs/>
        </w:rPr>
        <w:t>normative ecclesial logic</w:t>
      </w:r>
      <w:r>
        <w:t xml:space="preserve">. Titus gives culturally/watchfulness-shaped rationales (“so that no one will malign the word of God,” Titus 2:3–5) while still tightly guarding overseer doctrine (“hold firm…give instruction in sound doctrine…rebuke,” Titus 1:9). </w:t>
      </w:r>
      <w:hyperlink r:id="rId23">
        <w:r>
          <w:rPr>
            <w:rStyle w:val="Hyperlink"/>
          </w:rPr>
          <w:t>[16]</w:t>
        </w:r>
      </w:hyperlink>
      <w:r>
        <w:t xml:space="preserve"> 2 Timothy likewise foregrounds </w:t>
      </w:r>
      <w:r>
        <w:lastRenderedPageBreak/>
        <w:t xml:space="preserve">transmission of teaching authority (“entrust…to faithful [men]…able to teach others,” 2 Tim 2:2) and notes that deceivers exploit household contexts and “captivate…women” (2 Tim 3:6). </w:t>
      </w:r>
      <w:hyperlink r:id="rId24">
        <w:r>
          <w:rPr>
            <w:rStyle w:val="Hyperlink"/>
          </w:rPr>
          <w:t>[17]</w:t>
        </w:r>
      </w:hyperlink>
      <w:r>
        <w:t xml:space="preserve"> That pattern fits a </w:t>
      </w:r>
      <w:r>
        <w:rPr>
          <w:b/>
          <w:bCs/>
        </w:rPr>
        <w:t>mixed reading</w:t>
      </w:r>
      <w:r>
        <w:t xml:space="preserve"> of 1 Tim 2: local instability and deception pressure the issue, but Paul regularly articulates church-order norms in ways meant to outlast the immediate crisis.</w:t>
      </w:r>
    </w:p>
    <w:p w14:paraId="58F58FEA" w14:textId="77777777" w:rsidR="00AE267D" w:rsidRDefault="00AE267D" w:rsidP="00AE267D">
      <w:pPr>
        <w:pStyle w:val="Heading2"/>
      </w:pPr>
      <w:bookmarkStart w:id="9" w:name="passage-map-table"/>
      <w:bookmarkEnd w:id="8"/>
      <w:r>
        <w:t>Passage map table</w:t>
      </w:r>
    </w:p>
    <w:tbl>
      <w:tblPr>
        <w:tblStyle w:val="Table"/>
        <w:tblW w:w="0" w:type="auto"/>
        <w:tblLook w:val="0020" w:firstRow="1" w:lastRow="0" w:firstColumn="0" w:lastColumn="0" w:noHBand="0" w:noVBand="0"/>
      </w:tblPr>
      <w:tblGrid>
        <w:gridCol w:w="1278"/>
        <w:gridCol w:w="2818"/>
        <w:gridCol w:w="2461"/>
        <w:gridCol w:w="2803"/>
      </w:tblGrid>
      <w:tr w:rsidR="00AE267D" w14:paraId="54A29342" w14:textId="77777777" w:rsidTr="002D4173">
        <w:trPr>
          <w:cnfStyle w:val="100000000000" w:firstRow="1" w:lastRow="0" w:firstColumn="0" w:lastColumn="0" w:oddVBand="0" w:evenVBand="0" w:oddHBand="0" w:evenHBand="0" w:firstRowFirstColumn="0" w:firstRowLastColumn="0" w:lastRowFirstColumn="0" w:lastRowLastColumn="0"/>
          <w:tblHeader/>
        </w:trPr>
        <w:tc>
          <w:tcPr>
            <w:tcW w:w="0" w:type="auto"/>
          </w:tcPr>
          <w:p w14:paraId="5F9ED740" w14:textId="77777777" w:rsidR="00AE267D" w:rsidRDefault="00AE267D" w:rsidP="002D4173">
            <w:pPr>
              <w:pStyle w:val="Compact"/>
            </w:pPr>
            <w:r>
              <w:t>Passage(s)</w:t>
            </w:r>
          </w:p>
        </w:tc>
        <w:tc>
          <w:tcPr>
            <w:tcW w:w="0" w:type="auto"/>
          </w:tcPr>
          <w:p w14:paraId="6BB4AAE2" w14:textId="77777777" w:rsidR="00AE267D" w:rsidRDefault="00AE267D" w:rsidP="002D4173">
            <w:pPr>
              <w:pStyle w:val="Compact"/>
            </w:pPr>
            <w:r>
              <w:t>Content focus</w:t>
            </w:r>
          </w:p>
        </w:tc>
        <w:tc>
          <w:tcPr>
            <w:tcW w:w="0" w:type="auto"/>
          </w:tcPr>
          <w:p w14:paraId="0D0C8AE1" w14:textId="77777777" w:rsidR="00AE267D" w:rsidRDefault="00AE267D" w:rsidP="002D4173">
            <w:pPr>
              <w:pStyle w:val="Compact"/>
            </w:pPr>
            <w:r>
              <w:t>Internal signal</w:t>
            </w:r>
          </w:p>
        </w:tc>
        <w:tc>
          <w:tcPr>
            <w:tcW w:w="0" w:type="auto"/>
          </w:tcPr>
          <w:p w14:paraId="35388712" w14:textId="77777777" w:rsidR="00AE267D" w:rsidRDefault="00AE267D" w:rsidP="002D4173">
            <w:pPr>
              <w:pStyle w:val="Compact"/>
            </w:pPr>
            <w:r>
              <w:t>Bearing on “v12 is Ephesian-cultural”</w:t>
            </w:r>
          </w:p>
        </w:tc>
      </w:tr>
      <w:tr w:rsidR="00AE267D" w14:paraId="1605D5D3" w14:textId="77777777" w:rsidTr="002D4173">
        <w:tc>
          <w:tcPr>
            <w:tcW w:w="0" w:type="auto"/>
          </w:tcPr>
          <w:p w14:paraId="7BF81D05" w14:textId="77777777" w:rsidR="00AE267D" w:rsidRDefault="00AE267D" w:rsidP="002D4173">
            <w:pPr>
              <w:pStyle w:val="Compact"/>
            </w:pPr>
            <w:r>
              <w:t>1:3–7; 6:3; 6:20–21</w:t>
            </w:r>
          </w:p>
        </w:tc>
        <w:tc>
          <w:tcPr>
            <w:tcW w:w="0" w:type="auto"/>
          </w:tcPr>
          <w:p w14:paraId="787E450B" w14:textId="77777777" w:rsidR="00AE267D" w:rsidRDefault="00AE267D" w:rsidP="002D4173">
            <w:pPr>
              <w:pStyle w:val="Compact"/>
            </w:pPr>
            <w:r>
              <w:t>Stop false teaching; guard deposit</w:t>
            </w:r>
          </w:p>
        </w:tc>
        <w:tc>
          <w:tcPr>
            <w:tcW w:w="0" w:type="auto"/>
          </w:tcPr>
          <w:p w14:paraId="1F2BBD58" w14:textId="77777777" w:rsidR="00AE267D" w:rsidRDefault="00AE267D" w:rsidP="002D4173">
            <w:pPr>
              <w:pStyle w:val="Compact"/>
            </w:pPr>
            <w:r>
              <w:t>Local problem (Ephesus) + trans-local doctrinal norm</w:t>
            </w:r>
          </w:p>
        </w:tc>
        <w:tc>
          <w:tcPr>
            <w:tcW w:w="0" w:type="auto"/>
          </w:tcPr>
          <w:p w14:paraId="6C0BA6AB" w14:textId="77777777" w:rsidR="00AE267D" w:rsidRDefault="00AE267D" w:rsidP="002D4173">
            <w:pPr>
              <w:pStyle w:val="Compact"/>
            </w:pPr>
            <w:r>
              <w:t xml:space="preserve">Supports “local pressure exists,” not that v12 is </w:t>
            </w:r>
            <w:r>
              <w:rPr>
                <w:i/>
                <w:iCs/>
              </w:rPr>
              <w:t>because</w:t>
            </w:r>
            <w:r>
              <w:t xml:space="preserve"> of culture </w:t>
            </w:r>
            <w:hyperlink r:id="rId25">
              <w:r>
                <w:rPr>
                  <w:rStyle w:val="Hyperlink"/>
                </w:rPr>
                <w:t>[18]</w:t>
              </w:r>
            </w:hyperlink>
          </w:p>
        </w:tc>
      </w:tr>
      <w:tr w:rsidR="00AE267D" w14:paraId="30A91571" w14:textId="77777777" w:rsidTr="002D4173">
        <w:tc>
          <w:tcPr>
            <w:tcW w:w="0" w:type="auto"/>
          </w:tcPr>
          <w:p w14:paraId="78E8C21C" w14:textId="77777777" w:rsidR="00AE267D" w:rsidRDefault="00AE267D" w:rsidP="002D4173">
            <w:pPr>
              <w:pStyle w:val="Compact"/>
            </w:pPr>
            <w:r>
              <w:t>2:9–10</w:t>
            </w:r>
          </w:p>
        </w:tc>
        <w:tc>
          <w:tcPr>
            <w:tcW w:w="0" w:type="auto"/>
          </w:tcPr>
          <w:p w14:paraId="146BB0CC" w14:textId="77777777" w:rsidR="00AE267D" w:rsidRDefault="00AE267D" w:rsidP="002D4173">
            <w:pPr>
              <w:pStyle w:val="Compact"/>
            </w:pPr>
            <w:r>
              <w:t>Women’s “respectable apparel” vs wealth display</w:t>
            </w:r>
          </w:p>
        </w:tc>
        <w:tc>
          <w:tcPr>
            <w:tcW w:w="0" w:type="auto"/>
          </w:tcPr>
          <w:p w14:paraId="026A48EC" w14:textId="77777777" w:rsidR="00AE267D" w:rsidRDefault="00AE267D" w:rsidP="002D4173">
            <w:pPr>
              <w:pStyle w:val="Compact"/>
            </w:pPr>
            <w:r>
              <w:t>Strongly culture-shaped exemplars</w:t>
            </w:r>
          </w:p>
        </w:tc>
        <w:tc>
          <w:tcPr>
            <w:tcW w:w="0" w:type="auto"/>
          </w:tcPr>
          <w:p w14:paraId="427C2BCC" w14:textId="77777777" w:rsidR="00AE267D" w:rsidRDefault="00AE267D" w:rsidP="002D4173">
            <w:pPr>
              <w:pStyle w:val="Compact"/>
            </w:pPr>
            <w:r>
              <w:t xml:space="preserve">Shows Paul does address socially coded Ephesian behavior nearby </w:t>
            </w:r>
            <w:hyperlink r:id="rId26">
              <w:r>
                <w:rPr>
                  <w:rStyle w:val="Hyperlink"/>
                </w:rPr>
                <w:t>[19]</w:t>
              </w:r>
            </w:hyperlink>
          </w:p>
        </w:tc>
      </w:tr>
      <w:tr w:rsidR="00AE267D" w14:paraId="3CDE6927" w14:textId="77777777" w:rsidTr="002D4173">
        <w:tc>
          <w:tcPr>
            <w:tcW w:w="0" w:type="auto"/>
          </w:tcPr>
          <w:p w14:paraId="61A862D8" w14:textId="77777777" w:rsidR="00AE267D" w:rsidRDefault="00AE267D" w:rsidP="002D4173">
            <w:pPr>
              <w:pStyle w:val="Compact"/>
            </w:pPr>
            <w:r>
              <w:t>2:11–12</w:t>
            </w:r>
          </w:p>
        </w:tc>
        <w:tc>
          <w:tcPr>
            <w:tcW w:w="0" w:type="auto"/>
          </w:tcPr>
          <w:p w14:paraId="13E4EDA9" w14:textId="77777777" w:rsidR="00AE267D" w:rsidRDefault="00AE267D" w:rsidP="002D4173">
            <w:pPr>
              <w:pStyle w:val="Compact"/>
            </w:pPr>
            <w:r>
              <w:t>Learn in quietness/submission; no teaching/authority over man</w:t>
            </w:r>
          </w:p>
        </w:tc>
        <w:tc>
          <w:tcPr>
            <w:tcW w:w="0" w:type="auto"/>
          </w:tcPr>
          <w:p w14:paraId="507E232B" w14:textId="77777777" w:rsidR="00AE267D" w:rsidRDefault="00AE267D" w:rsidP="002D4173">
            <w:pPr>
              <w:pStyle w:val="Compact"/>
            </w:pPr>
            <w:r>
              <w:t>General syntactic rule (ο</w:t>
            </w:r>
            <w:r>
              <w:rPr>
                <w:rFonts w:ascii="Arial" w:hAnsi="Arial" w:cs="Arial"/>
              </w:rPr>
              <w:t>ὐ</w:t>
            </w:r>
            <w:r>
              <w:t>δ</w:t>
            </w:r>
            <w:r>
              <w:rPr>
                <w:rFonts w:ascii="Arial" w:hAnsi="Arial" w:cs="Arial"/>
              </w:rPr>
              <w:t>ὲ</w:t>
            </w:r>
            <w:r>
              <w:t>…</w:t>
            </w:r>
            <w:r>
              <w:rPr>
                <w:rFonts w:ascii="Arial" w:hAnsi="Arial" w:cs="Arial"/>
              </w:rPr>
              <w:t>ἀ</w:t>
            </w:r>
            <w:r>
              <w:t>λλ’)</w:t>
            </w:r>
          </w:p>
        </w:tc>
        <w:tc>
          <w:tcPr>
            <w:tcW w:w="0" w:type="auto"/>
          </w:tcPr>
          <w:p w14:paraId="1217F9FF" w14:textId="77777777" w:rsidR="00AE267D" w:rsidRDefault="00AE267D" w:rsidP="002D4173">
            <w:pPr>
              <w:pStyle w:val="Compact"/>
            </w:pPr>
            <w:r>
              <w:t xml:space="preserve">Text itself does not invoke Ephesus; reads like ecclesial norm </w:t>
            </w:r>
            <w:hyperlink r:id="rId27">
              <w:r>
                <w:rPr>
                  <w:rStyle w:val="Hyperlink"/>
                </w:rPr>
                <w:t>[20]</w:t>
              </w:r>
            </w:hyperlink>
          </w:p>
        </w:tc>
      </w:tr>
      <w:tr w:rsidR="00AE267D" w14:paraId="6D505450" w14:textId="77777777" w:rsidTr="002D4173">
        <w:tc>
          <w:tcPr>
            <w:tcW w:w="0" w:type="auto"/>
          </w:tcPr>
          <w:p w14:paraId="3B74DBE1" w14:textId="77777777" w:rsidR="00AE267D" w:rsidRDefault="00AE267D" w:rsidP="002D4173">
            <w:pPr>
              <w:pStyle w:val="Compact"/>
            </w:pPr>
            <w:r>
              <w:t>2:13–14</w:t>
            </w:r>
          </w:p>
        </w:tc>
        <w:tc>
          <w:tcPr>
            <w:tcW w:w="0" w:type="auto"/>
          </w:tcPr>
          <w:p w14:paraId="0D2410FF" w14:textId="77777777" w:rsidR="00AE267D" w:rsidRDefault="00AE267D" w:rsidP="002D4173">
            <w:pPr>
              <w:pStyle w:val="Compact"/>
            </w:pPr>
            <w:r>
              <w:t>Reasons: creation order + deception/fall</w:t>
            </w:r>
          </w:p>
        </w:tc>
        <w:tc>
          <w:tcPr>
            <w:tcW w:w="0" w:type="auto"/>
          </w:tcPr>
          <w:p w14:paraId="3BACBA56" w14:textId="77777777" w:rsidR="00AE267D" w:rsidRDefault="00AE267D" w:rsidP="002D4173">
            <w:pPr>
              <w:pStyle w:val="Compact"/>
            </w:pPr>
            <w:r>
              <w:t>Explicit Genesis rationale</w:t>
            </w:r>
          </w:p>
        </w:tc>
        <w:tc>
          <w:tcPr>
            <w:tcW w:w="0" w:type="auto"/>
          </w:tcPr>
          <w:p w14:paraId="6C755BD1" w14:textId="77777777" w:rsidR="00AE267D" w:rsidRDefault="00AE267D" w:rsidP="002D4173">
            <w:pPr>
              <w:pStyle w:val="Compact"/>
            </w:pPr>
            <w:r>
              <w:t xml:space="preserve">Strongest internal evidence against purely local/cultural grounding </w:t>
            </w:r>
            <w:hyperlink r:id="rId28">
              <w:r>
                <w:rPr>
                  <w:rStyle w:val="Hyperlink"/>
                </w:rPr>
                <w:t>[13]</w:t>
              </w:r>
            </w:hyperlink>
          </w:p>
        </w:tc>
      </w:tr>
      <w:tr w:rsidR="00AE267D" w14:paraId="2485BBC2" w14:textId="77777777" w:rsidTr="002D4173">
        <w:tc>
          <w:tcPr>
            <w:tcW w:w="0" w:type="auto"/>
          </w:tcPr>
          <w:p w14:paraId="3DBF76C6" w14:textId="77777777" w:rsidR="00AE267D" w:rsidRDefault="00AE267D" w:rsidP="002D4173">
            <w:pPr>
              <w:pStyle w:val="Compact"/>
            </w:pPr>
            <w:r>
              <w:t>3:1–2; 5:17</w:t>
            </w:r>
          </w:p>
        </w:tc>
        <w:tc>
          <w:tcPr>
            <w:tcW w:w="0" w:type="auto"/>
          </w:tcPr>
          <w:p w14:paraId="753C718D" w14:textId="77777777" w:rsidR="00AE267D" w:rsidRDefault="00AE267D" w:rsidP="002D4173">
            <w:pPr>
              <w:pStyle w:val="Compact"/>
            </w:pPr>
            <w:r>
              <w:t>Overseer “able to teach”; elders labor in teaching</w:t>
            </w:r>
          </w:p>
        </w:tc>
        <w:tc>
          <w:tcPr>
            <w:tcW w:w="0" w:type="auto"/>
          </w:tcPr>
          <w:p w14:paraId="2ADD3672" w14:textId="77777777" w:rsidR="00AE267D" w:rsidRDefault="00AE267D" w:rsidP="002D4173">
            <w:pPr>
              <w:pStyle w:val="Compact"/>
            </w:pPr>
            <w:r>
              <w:t>Durable leadership/teaching architecture</w:t>
            </w:r>
          </w:p>
        </w:tc>
        <w:tc>
          <w:tcPr>
            <w:tcW w:w="0" w:type="auto"/>
          </w:tcPr>
          <w:p w14:paraId="037E6F70" w14:textId="77777777" w:rsidR="00AE267D" w:rsidRDefault="00AE267D" w:rsidP="002D4173">
            <w:pPr>
              <w:pStyle w:val="Compact"/>
            </w:pPr>
            <w:r>
              <w:t xml:space="preserve">Pulls 2:12 toward office/gov-teaching boundary, not etiquette </w:t>
            </w:r>
            <w:hyperlink r:id="rId29">
              <w:r>
                <w:rPr>
                  <w:rStyle w:val="Hyperlink"/>
                </w:rPr>
                <w:t>[21]</w:t>
              </w:r>
            </w:hyperlink>
          </w:p>
        </w:tc>
      </w:tr>
      <w:tr w:rsidR="00AE267D" w14:paraId="2A75E61F" w14:textId="77777777" w:rsidTr="002D4173">
        <w:tc>
          <w:tcPr>
            <w:tcW w:w="0" w:type="auto"/>
          </w:tcPr>
          <w:p w14:paraId="3980D16D" w14:textId="77777777" w:rsidR="00AE267D" w:rsidRDefault="00AE267D" w:rsidP="002D4173">
            <w:pPr>
              <w:pStyle w:val="Compact"/>
            </w:pPr>
            <w:r>
              <w:t>5:13–15; 5:14</w:t>
            </w:r>
          </w:p>
        </w:tc>
        <w:tc>
          <w:tcPr>
            <w:tcW w:w="0" w:type="auto"/>
          </w:tcPr>
          <w:p w14:paraId="1DEF152C" w14:textId="77777777" w:rsidR="00AE267D" w:rsidRDefault="00AE267D" w:rsidP="002D4173">
            <w:pPr>
              <w:pStyle w:val="Compact"/>
            </w:pPr>
            <w:r>
              <w:t>Younger widows: house-to-house talk; avoid slander</w:t>
            </w:r>
          </w:p>
        </w:tc>
        <w:tc>
          <w:tcPr>
            <w:tcW w:w="0" w:type="auto"/>
          </w:tcPr>
          <w:p w14:paraId="780BF2E7" w14:textId="77777777" w:rsidR="00AE267D" w:rsidRDefault="00AE267D" w:rsidP="002D4173">
            <w:pPr>
              <w:pStyle w:val="Compact"/>
            </w:pPr>
            <w:r>
              <w:t>Situational household dynamics</w:t>
            </w:r>
          </w:p>
        </w:tc>
        <w:tc>
          <w:tcPr>
            <w:tcW w:w="0" w:type="auto"/>
          </w:tcPr>
          <w:p w14:paraId="7D72716A" w14:textId="77777777" w:rsidR="00AE267D" w:rsidRDefault="00AE267D" w:rsidP="002D4173">
            <w:pPr>
              <w:pStyle w:val="Compact"/>
            </w:pPr>
            <w:r>
              <w:t xml:space="preserve">Strengthens “local disorder among some women,” but is not linked by Paul to 2:12’s Genesis reasons </w:t>
            </w:r>
            <w:hyperlink r:id="rId30">
              <w:r>
                <w:rPr>
                  <w:rStyle w:val="Hyperlink"/>
                </w:rPr>
                <w:t>[22]</w:t>
              </w:r>
            </w:hyperlink>
          </w:p>
        </w:tc>
      </w:tr>
    </w:tbl>
    <w:p w14:paraId="0809FB6C" w14:textId="77777777" w:rsidR="00AE267D" w:rsidRDefault="00AE267D" w:rsidP="00AE267D">
      <w:pPr>
        <w:pStyle w:val="Heading2"/>
      </w:pPr>
      <w:bookmarkStart w:id="10" w:name="Xc78369dc1ad5eb45828560ed0478d52359c7a15"/>
      <w:bookmarkEnd w:id="9"/>
      <w:r>
        <w:t>Conclusion and strongest internal arguments on each side</w:t>
      </w:r>
    </w:p>
    <w:p w14:paraId="01FF0EA4" w14:textId="77777777" w:rsidR="00AE267D" w:rsidRDefault="00AE267D" w:rsidP="00AE267D">
      <w:pPr>
        <w:pStyle w:val="FirstParagraph"/>
      </w:pPr>
      <w:r>
        <w:rPr>
          <w:b/>
          <w:bCs/>
        </w:rPr>
        <w:t>Primarily cultural/Ephesian</w:t>
      </w:r>
      <w:r>
        <w:t xml:space="preserve"> (strongest internal case): Ephesus is named as the site of false teaching (1:3), and the letter later depicts some women (younger widows) as enmeshed in house-to-house speech patterns that open doors to sin and satanic deviation (5:13–15); therefore 2:11–12 could be a stabilizing measure amid local deception and disorder. </w:t>
      </w:r>
      <w:hyperlink r:id="rId31">
        <w:r>
          <w:rPr>
            <w:rStyle w:val="Hyperlink"/>
          </w:rPr>
          <w:t>[23]</w:t>
        </w:r>
      </w:hyperlink>
    </w:p>
    <w:p w14:paraId="30E16A18" w14:textId="77777777" w:rsidR="00AE267D" w:rsidRDefault="00AE267D" w:rsidP="00AE267D">
      <w:pPr>
        <w:pStyle w:val="BodyText"/>
      </w:pPr>
      <w:r>
        <w:rPr>
          <w:b/>
          <w:bCs/>
        </w:rPr>
        <w:t>Primarily theological/trans-local</w:t>
      </w:r>
      <w:r>
        <w:t xml:space="preserve"> (strongest internal case): v.12 is framed as a straightforward prohibition and posture command (ο</w:t>
      </w:r>
      <w:r>
        <w:rPr>
          <w:rFonts w:ascii="Arial" w:hAnsi="Arial" w:cs="Arial"/>
        </w:rPr>
        <w:t>ὐ</w:t>
      </w:r>
      <w:r>
        <w:t xml:space="preserve">κ </w:t>
      </w:r>
      <w:r>
        <w:rPr>
          <w:rFonts w:ascii="Arial" w:hAnsi="Arial" w:cs="Arial"/>
        </w:rPr>
        <w:t>ἐ</w:t>
      </w:r>
      <w:r>
        <w:t>πιτρέπω…ο</w:t>
      </w:r>
      <w:r>
        <w:rPr>
          <w:rFonts w:ascii="Arial" w:hAnsi="Arial" w:cs="Arial"/>
        </w:rPr>
        <w:t>ὐ</w:t>
      </w:r>
      <w:r>
        <w:t>δ</w:t>
      </w:r>
      <w:r>
        <w:rPr>
          <w:rFonts w:ascii="Arial" w:hAnsi="Arial" w:cs="Arial"/>
        </w:rPr>
        <w:t>ὲ</w:t>
      </w:r>
      <w:r>
        <w:t>…</w:t>
      </w:r>
      <w:r>
        <w:rPr>
          <w:rFonts w:ascii="Arial" w:hAnsi="Arial" w:cs="Arial"/>
        </w:rPr>
        <w:t>ἀ</w:t>
      </w:r>
      <w:r>
        <w:t xml:space="preserve">λλ’), and Paul’s own stated rationale is </w:t>
      </w:r>
      <w:r>
        <w:rPr>
          <w:b/>
          <w:bCs/>
        </w:rPr>
        <w:t>creation/fall</w:t>
      </w:r>
      <w:r>
        <w:t xml:space="preserve"> (2:13–14), not Ephesian reputation or pagan cult; structurally it sits immediately before overseer qualifications centered on teaching authority (3:2) and within a letter defining church order as truth-guardianship (3:15). </w:t>
      </w:r>
      <w:hyperlink r:id="rId32">
        <w:r>
          <w:rPr>
            <w:rStyle w:val="Hyperlink"/>
          </w:rPr>
          <w:t>[24]</w:t>
        </w:r>
      </w:hyperlink>
    </w:p>
    <w:p w14:paraId="52AFDD42" w14:textId="77777777" w:rsidR="00AE267D" w:rsidRDefault="00AE267D" w:rsidP="00AE267D">
      <w:pPr>
        <w:pStyle w:val="BodyText"/>
      </w:pPr>
      <w:r>
        <w:rPr>
          <w:b/>
          <w:bCs/>
        </w:rPr>
        <w:t>Analytical judgment from 1 Timothy alone:</w:t>
      </w:r>
      <w:r>
        <w:t xml:space="preserve"> the letter supports a </w:t>
      </w:r>
      <w:r>
        <w:rPr>
          <w:b/>
          <w:bCs/>
        </w:rPr>
        <w:t>mixed setting</w:t>
      </w:r>
      <w:r>
        <w:t xml:space="preserve"> (local disorder is real; some instructions are socially inflected), but it does </w:t>
      </w:r>
      <w:r>
        <w:rPr>
          <w:b/>
          <w:bCs/>
        </w:rPr>
        <w:t>not</w:t>
      </w:r>
      <w:r>
        <w:t xml:space="preserve"> supply internal evidence that 2:12 is </w:t>
      </w:r>
      <w:r>
        <w:rPr>
          <w:b/>
          <w:bCs/>
        </w:rPr>
        <w:t>driven primarily by Ephesian culture</w:t>
      </w:r>
      <w:r>
        <w:t xml:space="preserve">. The dominant internal signals </w:t>
      </w:r>
      <w:r>
        <w:lastRenderedPageBreak/>
        <w:t xml:space="preserve">are </w:t>
      </w:r>
      <w:r>
        <w:rPr>
          <w:b/>
          <w:bCs/>
        </w:rPr>
        <w:t>theological grounding (Genesis) + ecclesial-structure placement (ch. 3)</w:t>
      </w:r>
      <w:r>
        <w:t>, with local factors plausibly shaping urgency and application rather than constituting Paul’s stated rationale.</w:t>
      </w:r>
    </w:p>
    <w:bookmarkEnd w:id="1"/>
    <w:bookmarkEnd w:id="2"/>
    <w:bookmarkEnd w:id="10"/>
    <w:p w14:paraId="3FC802D8" w14:textId="77777777" w:rsidR="00AE267D" w:rsidRDefault="00B9026E" w:rsidP="00AE267D">
      <w:r>
        <w:rPr>
          <w:noProof/>
        </w:rPr>
        <w:pict w14:anchorId="1CDD63CF">
          <v:rect id="_x0000_i1025" alt="" style="width:468pt;height:.05pt;mso-width-percent:0;mso-height-percent:0;mso-width-percent:0;mso-height-percent:0" o:hralign="center" o:hrstd="t" o:hr="t"/>
        </w:pict>
      </w:r>
    </w:p>
    <w:bookmarkStart w:id="11" w:name="citations"/>
    <w:p w14:paraId="7721F873" w14:textId="77777777" w:rsidR="00AE267D" w:rsidRDefault="00AE267D" w:rsidP="00AE267D">
      <w:pPr>
        <w:pStyle w:val="FirstParagraph"/>
      </w:pPr>
      <w:r>
        <w:fldChar w:fldCharType="begin"/>
      </w:r>
      <w:r>
        <w:instrText>HYPERLINK "https://biblehub.com/1_timothy/1-3.htm?utm_source=chatgpt.com" \h</w:instrText>
      </w:r>
      <w:r>
        <w:fldChar w:fldCharType="separate"/>
      </w:r>
      <w:r>
        <w:rPr>
          <w:rStyle w:val="Hyperlink"/>
        </w:rPr>
        <w:t>[1]</w:t>
      </w:r>
      <w:r>
        <w:fldChar w:fldCharType="end"/>
      </w:r>
      <w:r>
        <w:t xml:space="preserve"> </w:t>
      </w:r>
      <w:hyperlink r:id="rId33">
        <w:r>
          <w:rPr>
            <w:rStyle w:val="Hyperlink"/>
          </w:rPr>
          <w:t>[3]</w:t>
        </w:r>
      </w:hyperlink>
      <w:r>
        <w:t xml:space="preserve"> </w:t>
      </w:r>
      <w:hyperlink r:id="rId34">
        <w:r>
          <w:rPr>
            <w:rStyle w:val="Hyperlink"/>
          </w:rPr>
          <w:t>[4]</w:t>
        </w:r>
      </w:hyperlink>
      <w:r>
        <w:t xml:space="preserve"> </w:t>
      </w:r>
      <w:hyperlink r:id="rId35">
        <w:r>
          <w:rPr>
            <w:rStyle w:val="Hyperlink"/>
          </w:rPr>
          <w:t>[18]</w:t>
        </w:r>
      </w:hyperlink>
      <w:r>
        <w:t xml:space="preserve"> </w:t>
      </w:r>
      <w:hyperlink r:id="rId36">
        <w:r>
          <w:rPr>
            <w:rStyle w:val="Hyperlink"/>
          </w:rPr>
          <w:t>[23]</w:t>
        </w:r>
      </w:hyperlink>
      <w:r>
        <w:t xml:space="preserve"> 1 Timothy 1:3 As I urged you on my departure to Macedonia ... - Bible Hub</w:t>
      </w:r>
    </w:p>
    <w:p w14:paraId="6D4547C4" w14:textId="47A9FACC" w:rsidR="00AE267D" w:rsidRDefault="00AE267D" w:rsidP="00AE267D">
      <w:pPr>
        <w:pStyle w:val="BodyText"/>
      </w:pPr>
      <w:hyperlink r:id="rId37">
        <w:r>
          <w:rPr>
            <w:rStyle w:val="Hyperlink"/>
          </w:rPr>
          <w:t>https://biblehub.com/1_timothy/1-3.htm</w:t>
        </w:r>
      </w:hyperlink>
    </w:p>
    <w:p w14:paraId="15DF0AF0" w14:textId="77777777" w:rsidR="00AE267D" w:rsidRDefault="00AE267D" w:rsidP="00AE267D">
      <w:pPr>
        <w:pStyle w:val="BodyText"/>
      </w:pPr>
      <w:hyperlink r:id="rId38">
        <w:r>
          <w:rPr>
            <w:rStyle w:val="Hyperlink"/>
          </w:rPr>
          <w:t>[2]</w:t>
        </w:r>
      </w:hyperlink>
      <w:r>
        <w:t xml:space="preserve"> </w:t>
      </w:r>
      <w:hyperlink r:id="rId39">
        <w:r>
          <w:rPr>
            <w:rStyle w:val="Hyperlink"/>
          </w:rPr>
          <w:t>[6]</w:t>
        </w:r>
      </w:hyperlink>
      <w:r>
        <w:t xml:space="preserve"> </w:t>
      </w:r>
      <w:hyperlink r:id="rId40">
        <w:r>
          <w:rPr>
            <w:rStyle w:val="Hyperlink"/>
          </w:rPr>
          <w:t>[19]</w:t>
        </w:r>
      </w:hyperlink>
      <w:r>
        <w:t xml:space="preserve"> 1 Timothy 2:9 - Instructions to Women - Bible Hub</w:t>
      </w:r>
    </w:p>
    <w:p w14:paraId="28B35FD9" w14:textId="5F074F1B" w:rsidR="00AE267D" w:rsidRDefault="00AE267D" w:rsidP="00AE267D">
      <w:pPr>
        <w:pStyle w:val="BodyText"/>
      </w:pPr>
      <w:hyperlink r:id="rId41">
        <w:r>
          <w:rPr>
            <w:rStyle w:val="Hyperlink"/>
          </w:rPr>
          <w:t>https://biblehub.com/1_timothy/2-9.htm</w:t>
        </w:r>
      </w:hyperlink>
    </w:p>
    <w:p w14:paraId="0470C654" w14:textId="77777777" w:rsidR="00AE267D" w:rsidRDefault="00AE267D" w:rsidP="00AE267D">
      <w:pPr>
        <w:pStyle w:val="BodyText"/>
      </w:pPr>
      <w:hyperlink r:id="rId42">
        <w:r>
          <w:rPr>
            <w:rStyle w:val="Hyperlink"/>
          </w:rPr>
          <w:t>[5]</w:t>
        </w:r>
      </w:hyperlink>
      <w:r>
        <w:t xml:space="preserve"> </w:t>
      </w:r>
      <w:hyperlink r:id="rId43">
        <w:r>
          <w:rPr>
            <w:rStyle w:val="Hyperlink"/>
          </w:rPr>
          <w:t>[14]</w:t>
        </w:r>
      </w:hyperlink>
      <w:r>
        <w:t xml:space="preserve"> 1 Timothy 3:15 - The Mystery of Godliness - Bible Hub</w:t>
      </w:r>
    </w:p>
    <w:p w14:paraId="7575245B" w14:textId="3672A756" w:rsidR="00AE267D" w:rsidRDefault="00AE267D" w:rsidP="00AE267D">
      <w:pPr>
        <w:pStyle w:val="BodyText"/>
      </w:pPr>
      <w:hyperlink r:id="rId44">
        <w:r>
          <w:rPr>
            <w:rStyle w:val="Hyperlink"/>
          </w:rPr>
          <w:t>https://biblehub.com/1_timothy/3-15.htm</w:t>
        </w:r>
      </w:hyperlink>
    </w:p>
    <w:p w14:paraId="2A00BED5" w14:textId="77777777" w:rsidR="00AE267D" w:rsidRDefault="00AE267D" w:rsidP="00AE267D">
      <w:pPr>
        <w:pStyle w:val="BodyText"/>
      </w:pPr>
      <w:hyperlink r:id="rId45">
        <w:r>
          <w:rPr>
            <w:rStyle w:val="Hyperlink"/>
          </w:rPr>
          <w:t>[7]</w:t>
        </w:r>
      </w:hyperlink>
      <w:r>
        <w:t xml:space="preserve"> </w:t>
      </w:r>
      <w:hyperlink r:id="rId46">
        <w:r>
          <w:rPr>
            <w:rStyle w:val="Hyperlink"/>
          </w:rPr>
          <w:t>[22]</w:t>
        </w:r>
      </w:hyperlink>
      <w:r>
        <w:t xml:space="preserve"> 1 Timothy 5:13 - Support for Widows - Bible Hub</w:t>
      </w:r>
    </w:p>
    <w:p w14:paraId="79A5A9F2" w14:textId="678A50A0" w:rsidR="00AE267D" w:rsidRDefault="00AE267D" w:rsidP="00AE267D">
      <w:pPr>
        <w:pStyle w:val="BodyText"/>
      </w:pPr>
      <w:hyperlink r:id="rId47">
        <w:r>
          <w:rPr>
            <w:rStyle w:val="Hyperlink"/>
          </w:rPr>
          <w:t>https://biblehub.com/1_timothy/5-13.htm</w:t>
        </w:r>
      </w:hyperlink>
    </w:p>
    <w:p w14:paraId="6375AE6F" w14:textId="77777777" w:rsidR="00AE267D" w:rsidRDefault="00AE267D" w:rsidP="00AE267D">
      <w:pPr>
        <w:pStyle w:val="BodyText"/>
      </w:pPr>
      <w:hyperlink r:id="rId48">
        <w:r>
          <w:rPr>
            <w:rStyle w:val="Hyperlink"/>
          </w:rPr>
          <w:t>[8]</w:t>
        </w:r>
      </w:hyperlink>
      <w:r>
        <w:t xml:space="preserve"> 1 Timothy 5:14 So I advise the younger widows to marry, have children ...</w:t>
      </w:r>
    </w:p>
    <w:p w14:paraId="34B1CC64" w14:textId="404407C8" w:rsidR="00AE267D" w:rsidRDefault="00AE267D" w:rsidP="00AE267D">
      <w:pPr>
        <w:pStyle w:val="BodyText"/>
      </w:pPr>
      <w:hyperlink r:id="rId49">
        <w:r>
          <w:rPr>
            <w:rStyle w:val="Hyperlink"/>
          </w:rPr>
          <w:t>https://biblehub.com/1_timothy/5-14.htm</w:t>
        </w:r>
      </w:hyperlink>
    </w:p>
    <w:p w14:paraId="23FAD9AB" w14:textId="77777777" w:rsidR="00AE267D" w:rsidRDefault="00AE267D" w:rsidP="00AE267D">
      <w:pPr>
        <w:pStyle w:val="BodyText"/>
      </w:pPr>
      <w:hyperlink r:id="rId50">
        <w:r>
          <w:rPr>
            <w:rStyle w:val="Hyperlink"/>
          </w:rPr>
          <w:t>[9]</w:t>
        </w:r>
      </w:hyperlink>
      <w:r>
        <w:t xml:space="preserve"> </w:t>
      </w:r>
      <w:hyperlink r:id="rId51">
        <w:r>
          <w:rPr>
            <w:rStyle w:val="Hyperlink"/>
          </w:rPr>
          <w:t>[15]</w:t>
        </w:r>
      </w:hyperlink>
      <w:r>
        <w:t xml:space="preserve"> </w:t>
      </w:r>
      <w:hyperlink r:id="rId52">
        <w:r>
          <w:rPr>
            <w:rStyle w:val="Hyperlink"/>
          </w:rPr>
          <w:t>[21]</w:t>
        </w:r>
      </w:hyperlink>
      <w:r>
        <w:t xml:space="preserve"> 1 Timothy 3:2 - Qualifications for Overseers - Bible Hub</w:t>
      </w:r>
    </w:p>
    <w:p w14:paraId="697D3795" w14:textId="0CEB4E97" w:rsidR="00AE267D" w:rsidRDefault="00AE267D" w:rsidP="00AE267D">
      <w:pPr>
        <w:pStyle w:val="BodyText"/>
      </w:pPr>
      <w:hyperlink r:id="rId53">
        <w:r>
          <w:rPr>
            <w:rStyle w:val="Hyperlink"/>
          </w:rPr>
          <w:t>https://biblehub.com/1_timothy/3-2.htm</w:t>
        </w:r>
      </w:hyperlink>
    </w:p>
    <w:p w14:paraId="03CA2D65" w14:textId="77777777" w:rsidR="00AE267D" w:rsidRDefault="00AE267D" w:rsidP="00AE267D">
      <w:pPr>
        <w:pStyle w:val="BodyText"/>
      </w:pPr>
      <w:hyperlink r:id="rId54">
        <w:r>
          <w:rPr>
            <w:rStyle w:val="Hyperlink"/>
          </w:rPr>
          <w:t>[10]</w:t>
        </w:r>
      </w:hyperlink>
      <w:r>
        <w:t xml:space="preserve"> </w:t>
      </w:r>
      <w:hyperlink r:id="rId55">
        <w:r>
          <w:rPr>
            <w:rStyle w:val="Hyperlink"/>
          </w:rPr>
          <w:t>[20]</w:t>
        </w:r>
      </w:hyperlink>
      <w:r>
        <w:t xml:space="preserve"> </w:t>
      </w:r>
      <w:hyperlink r:id="rId56">
        <w:r>
          <w:rPr>
            <w:rStyle w:val="Hyperlink"/>
          </w:rPr>
          <w:t>[24]</w:t>
        </w:r>
      </w:hyperlink>
      <w:r>
        <w:t xml:space="preserve"> Greek Interlinear Layout for 1 Timothy 2:12 (MGNT • NASB95)</w:t>
      </w:r>
    </w:p>
    <w:p w14:paraId="7E3C1C22" w14:textId="77777777" w:rsidR="00AE267D" w:rsidRDefault="00AE267D" w:rsidP="00AE267D">
      <w:pPr>
        <w:pStyle w:val="BodyText"/>
      </w:pPr>
      <w:hyperlink r:id="rId57">
        <w:r>
          <w:rPr>
            <w:rStyle w:val="Hyperlink"/>
          </w:rPr>
          <w:t>https://www.blueletterbible.org/tools/interlinear/mgnt/1ti/2/12/</w:t>
        </w:r>
      </w:hyperlink>
    </w:p>
    <w:p w14:paraId="63103724" w14:textId="77777777" w:rsidR="00AE267D" w:rsidRDefault="00AE267D" w:rsidP="00AE267D">
      <w:pPr>
        <w:pStyle w:val="BodyText"/>
      </w:pPr>
      <w:hyperlink r:id="rId58">
        <w:r>
          <w:rPr>
            <w:rStyle w:val="Hyperlink"/>
          </w:rPr>
          <w:t>[11]</w:t>
        </w:r>
      </w:hyperlink>
      <w:r>
        <w:t xml:space="preserve"> G1321 - didaskō - Strong's Greek Lexicon (NASB20)</w:t>
      </w:r>
    </w:p>
    <w:p w14:paraId="00204469" w14:textId="77777777" w:rsidR="00AE267D" w:rsidRDefault="00AE267D" w:rsidP="00AE267D">
      <w:pPr>
        <w:pStyle w:val="BodyText"/>
      </w:pPr>
      <w:hyperlink r:id="rId59">
        <w:r>
          <w:rPr>
            <w:rStyle w:val="Hyperlink"/>
          </w:rPr>
          <w:t>https://www.blueletterbible.org/lexicon/g1321/nasb20/mgnt/0-1/</w:t>
        </w:r>
      </w:hyperlink>
    </w:p>
    <w:p w14:paraId="70ED2BEF" w14:textId="77777777" w:rsidR="00AE267D" w:rsidRDefault="00AE267D" w:rsidP="00AE267D">
      <w:pPr>
        <w:pStyle w:val="BodyText"/>
      </w:pPr>
      <w:hyperlink r:id="rId60">
        <w:r>
          <w:rPr>
            <w:rStyle w:val="Hyperlink"/>
          </w:rPr>
          <w:t>[12]</w:t>
        </w:r>
      </w:hyperlink>
      <w:r>
        <w:t xml:space="preserve"> 1 Timothy 2:11 A woman must learn in quietness and full ... - Bible Hub</w:t>
      </w:r>
    </w:p>
    <w:p w14:paraId="55BB6E14" w14:textId="3A329C8C" w:rsidR="00AE267D" w:rsidRDefault="00AE267D" w:rsidP="00AE267D">
      <w:pPr>
        <w:pStyle w:val="BodyText"/>
      </w:pPr>
      <w:hyperlink r:id="rId61">
        <w:r>
          <w:rPr>
            <w:rStyle w:val="Hyperlink"/>
          </w:rPr>
          <w:t>https://biblehub.com/1_timothy/2-11.htm</w:t>
        </w:r>
      </w:hyperlink>
    </w:p>
    <w:p w14:paraId="127ADFE4" w14:textId="77777777" w:rsidR="00AE267D" w:rsidRDefault="00AE267D" w:rsidP="00AE267D">
      <w:pPr>
        <w:pStyle w:val="BodyText"/>
      </w:pPr>
      <w:hyperlink r:id="rId62">
        <w:r>
          <w:rPr>
            <w:rStyle w:val="Hyperlink"/>
          </w:rPr>
          <w:t>[13]</w:t>
        </w:r>
      </w:hyperlink>
      <w:r>
        <w:t xml:space="preserve"> 1 Timothy 2:13 For Adam was formed first, and then Eve. - Bible Hub</w:t>
      </w:r>
    </w:p>
    <w:p w14:paraId="0EEBF384" w14:textId="42AC6859" w:rsidR="00AE267D" w:rsidRDefault="00AE267D" w:rsidP="00AE267D">
      <w:pPr>
        <w:pStyle w:val="BodyText"/>
      </w:pPr>
      <w:hyperlink r:id="rId63">
        <w:r>
          <w:rPr>
            <w:rStyle w:val="Hyperlink"/>
          </w:rPr>
          <w:t>https://biblehub.com/1_timothy/2-13.htm</w:t>
        </w:r>
      </w:hyperlink>
    </w:p>
    <w:p w14:paraId="0CE9BF96" w14:textId="77777777" w:rsidR="00AE267D" w:rsidRDefault="00AE267D" w:rsidP="00AE267D">
      <w:pPr>
        <w:pStyle w:val="BodyText"/>
      </w:pPr>
      <w:hyperlink r:id="rId64">
        <w:r>
          <w:rPr>
            <w:rStyle w:val="Hyperlink"/>
          </w:rPr>
          <w:t>[16]</w:t>
        </w:r>
      </w:hyperlink>
      <w:r>
        <w:t xml:space="preserve"> Titus 2:3-5 NIV - Likewise, teach the older women to be - Bible Gateway</w:t>
      </w:r>
    </w:p>
    <w:p w14:paraId="7E678C8B" w14:textId="77777777" w:rsidR="00AE267D" w:rsidRDefault="00AE267D" w:rsidP="00AE267D">
      <w:pPr>
        <w:pStyle w:val="BodyText"/>
      </w:pPr>
      <w:hyperlink r:id="rId65">
        <w:r>
          <w:rPr>
            <w:rStyle w:val="Hyperlink"/>
          </w:rPr>
          <w:t>https://www.biblegateway.com/passage/?search=Titus+2%3A3-5&amp;version=NIV&amp;utm_source=chatgpt.com</w:t>
        </w:r>
      </w:hyperlink>
    </w:p>
    <w:p w14:paraId="6587B365" w14:textId="77777777" w:rsidR="00AE267D" w:rsidRDefault="00AE267D" w:rsidP="00AE267D">
      <w:pPr>
        <w:pStyle w:val="BodyText"/>
      </w:pPr>
      <w:hyperlink r:id="rId66">
        <w:r>
          <w:rPr>
            <w:rStyle w:val="Hyperlink"/>
          </w:rPr>
          <w:t>[17]</w:t>
        </w:r>
      </w:hyperlink>
      <w:r>
        <w:t xml:space="preserve"> 2 Timothy 2:2 - Grace and Perseverance - Bible Hub</w:t>
      </w:r>
    </w:p>
    <w:p w14:paraId="21FA101F" w14:textId="6B2BEEBA" w:rsidR="00AE267D" w:rsidRDefault="00AE267D" w:rsidP="00AE267D">
      <w:pPr>
        <w:pStyle w:val="BodyText"/>
      </w:pPr>
      <w:hyperlink r:id="rId67">
        <w:r>
          <w:rPr>
            <w:rStyle w:val="Hyperlink"/>
          </w:rPr>
          <w:t>https://biblehub.com/2_timothy/2-2.htm</w:t>
        </w:r>
      </w:hyperlink>
    </w:p>
    <w:bookmarkEnd w:id="11"/>
    <w:p w14:paraId="47AC9CDC" w14:textId="77777777" w:rsidR="00AE267D" w:rsidRDefault="00AE267D"/>
    <w:sectPr w:rsidR="00AE267D">
      <w:footerReference w:type="default" r:id="rId6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DC9722" w14:textId="77777777" w:rsidR="00B9026E" w:rsidRDefault="00B9026E" w:rsidP="00CC7355">
      <w:pPr>
        <w:spacing w:after="0" w:line="240" w:lineRule="auto"/>
      </w:pPr>
      <w:r>
        <w:separator/>
      </w:r>
    </w:p>
  </w:endnote>
  <w:endnote w:type="continuationSeparator" w:id="0">
    <w:p w14:paraId="09FDB43C" w14:textId="77777777" w:rsidR="00B9026E" w:rsidRDefault="00B9026E" w:rsidP="00CC73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0D075" w14:textId="77777777" w:rsidR="00CC7355" w:rsidRDefault="00CC7355">
    <w:pPr>
      <w:tabs>
        <w:tab w:val="center" w:pos="4550"/>
        <w:tab w:val="left" w:pos="5818"/>
      </w:tabs>
      <w:ind w:right="260"/>
      <w:jc w:val="right"/>
      <w:rPr>
        <w:color w:val="071320" w:themeColor="text2" w:themeShade="80"/>
      </w:rPr>
    </w:pPr>
    <w:r>
      <w:rPr>
        <w:color w:val="2C7FCE" w:themeColor="text2" w:themeTint="99"/>
        <w:spacing w:val="60"/>
      </w:rPr>
      <w:t>Page</w:t>
    </w:r>
    <w:r>
      <w:rPr>
        <w:color w:val="2C7FCE" w:themeColor="text2" w:themeTint="99"/>
      </w:rPr>
      <w:t xml:space="preserve"> </w:t>
    </w:r>
    <w:r>
      <w:rPr>
        <w:color w:val="0A1D30" w:themeColor="text2" w:themeShade="BF"/>
      </w:rPr>
      <w:fldChar w:fldCharType="begin"/>
    </w:r>
    <w:r>
      <w:rPr>
        <w:color w:val="0A1D30" w:themeColor="text2" w:themeShade="BF"/>
      </w:rPr>
      <w:instrText xml:space="preserve"> PAGE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 xml:space="preserve"> NUMPAGES  \* Arabic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p>
  <w:p w14:paraId="6B6FCD58" w14:textId="77777777" w:rsidR="00CC7355" w:rsidRDefault="00CC73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922BEF" w14:textId="77777777" w:rsidR="00B9026E" w:rsidRDefault="00B9026E" w:rsidP="00CC7355">
      <w:pPr>
        <w:spacing w:after="0" w:line="240" w:lineRule="auto"/>
      </w:pPr>
      <w:r>
        <w:separator/>
      </w:r>
    </w:p>
  </w:footnote>
  <w:footnote w:type="continuationSeparator" w:id="0">
    <w:p w14:paraId="0781A836" w14:textId="77777777" w:rsidR="00B9026E" w:rsidRDefault="00B9026E" w:rsidP="00CC73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B37C7"/>
    <w:multiLevelType w:val="multilevel"/>
    <w:tmpl w:val="023CF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76B23EB"/>
    <w:multiLevelType w:val="multilevel"/>
    <w:tmpl w:val="6C7A1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2E6F77"/>
    <w:multiLevelType w:val="multilevel"/>
    <w:tmpl w:val="ECB22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E5B3507"/>
    <w:multiLevelType w:val="multilevel"/>
    <w:tmpl w:val="3264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0D9535D"/>
    <w:multiLevelType w:val="multilevel"/>
    <w:tmpl w:val="9B38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08105AD"/>
    <w:multiLevelType w:val="multilevel"/>
    <w:tmpl w:val="D8B05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10D0F88"/>
    <w:multiLevelType w:val="multilevel"/>
    <w:tmpl w:val="077A2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23F6689"/>
    <w:multiLevelType w:val="multilevel"/>
    <w:tmpl w:val="D04A6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2A220C9"/>
    <w:multiLevelType w:val="multilevel"/>
    <w:tmpl w:val="ECE81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5CE5976"/>
    <w:multiLevelType w:val="multilevel"/>
    <w:tmpl w:val="9EBAB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C443A6C"/>
    <w:multiLevelType w:val="multilevel"/>
    <w:tmpl w:val="DCAEC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B4C76A1"/>
    <w:multiLevelType w:val="multilevel"/>
    <w:tmpl w:val="B9521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D765F5A"/>
    <w:multiLevelType w:val="multilevel"/>
    <w:tmpl w:val="A8A201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FE4287D"/>
    <w:multiLevelType w:val="multilevel"/>
    <w:tmpl w:val="FC0E2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D7D5148"/>
    <w:multiLevelType w:val="multilevel"/>
    <w:tmpl w:val="E5523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F6F5E42"/>
    <w:multiLevelType w:val="multilevel"/>
    <w:tmpl w:val="C3286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2EC40E6"/>
    <w:multiLevelType w:val="multilevel"/>
    <w:tmpl w:val="FCCCA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3C66BF6"/>
    <w:multiLevelType w:val="multilevel"/>
    <w:tmpl w:val="0F045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7B9787A"/>
    <w:multiLevelType w:val="multilevel"/>
    <w:tmpl w:val="479A3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B4F054D"/>
    <w:multiLevelType w:val="multilevel"/>
    <w:tmpl w:val="0EF2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C8A30FA"/>
    <w:multiLevelType w:val="multilevel"/>
    <w:tmpl w:val="68A4B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237025E"/>
    <w:multiLevelType w:val="multilevel"/>
    <w:tmpl w:val="1A2ED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299529444">
    <w:abstractNumId w:val="13"/>
  </w:num>
  <w:num w:numId="2" w16cid:durableId="755832445">
    <w:abstractNumId w:val="16"/>
  </w:num>
  <w:num w:numId="3" w16cid:durableId="1965889192">
    <w:abstractNumId w:val="14"/>
  </w:num>
  <w:num w:numId="4" w16cid:durableId="1888492114">
    <w:abstractNumId w:val="17"/>
  </w:num>
  <w:num w:numId="5" w16cid:durableId="889073047">
    <w:abstractNumId w:val="15"/>
  </w:num>
  <w:num w:numId="6" w16cid:durableId="1015381404">
    <w:abstractNumId w:val="5"/>
  </w:num>
  <w:num w:numId="7" w16cid:durableId="1098066853">
    <w:abstractNumId w:val="3"/>
  </w:num>
  <w:num w:numId="8" w16cid:durableId="960459058">
    <w:abstractNumId w:val="2"/>
    <w:lvlOverride w:ilvl="0">
      <w:startOverride w:val="1"/>
    </w:lvlOverride>
  </w:num>
  <w:num w:numId="9" w16cid:durableId="1314875142">
    <w:abstractNumId w:val="18"/>
  </w:num>
  <w:num w:numId="10" w16cid:durableId="1002854685">
    <w:abstractNumId w:val="6"/>
  </w:num>
  <w:num w:numId="11" w16cid:durableId="991300420">
    <w:abstractNumId w:val="0"/>
  </w:num>
  <w:num w:numId="12" w16cid:durableId="916279949">
    <w:abstractNumId w:val="21"/>
  </w:num>
  <w:num w:numId="13" w16cid:durableId="1916088287">
    <w:abstractNumId w:val="10"/>
  </w:num>
  <w:num w:numId="14" w16cid:durableId="1293098226">
    <w:abstractNumId w:val="11"/>
  </w:num>
  <w:num w:numId="15" w16cid:durableId="2043627147">
    <w:abstractNumId w:val="7"/>
    <w:lvlOverride w:ilvl="0">
      <w:startOverride w:val="1"/>
    </w:lvlOverride>
  </w:num>
  <w:num w:numId="16" w16cid:durableId="2096903547">
    <w:abstractNumId w:val="1"/>
    <w:lvlOverride w:ilvl="0">
      <w:startOverride w:val="1"/>
    </w:lvlOverride>
  </w:num>
  <w:num w:numId="17" w16cid:durableId="622150428">
    <w:abstractNumId w:val="19"/>
  </w:num>
  <w:num w:numId="18" w16cid:durableId="1593663517">
    <w:abstractNumId w:val="12"/>
    <w:lvlOverride w:ilvl="0">
      <w:startOverride w:val="2"/>
    </w:lvlOverride>
  </w:num>
  <w:num w:numId="19" w16cid:durableId="64960212">
    <w:abstractNumId w:val="9"/>
  </w:num>
  <w:num w:numId="20" w16cid:durableId="305357454">
    <w:abstractNumId w:val="4"/>
  </w:num>
  <w:num w:numId="21" w16cid:durableId="745808480">
    <w:abstractNumId w:val="8"/>
  </w:num>
  <w:num w:numId="22" w16cid:durableId="124040597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808"/>
    <w:rsid w:val="00006F75"/>
    <w:rsid w:val="00067038"/>
    <w:rsid w:val="002964E1"/>
    <w:rsid w:val="005E7A4F"/>
    <w:rsid w:val="006100FE"/>
    <w:rsid w:val="00611331"/>
    <w:rsid w:val="006B2541"/>
    <w:rsid w:val="007534F5"/>
    <w:rsid w:val="007C0D47"/>
    <w:rsid w:val="007F395A"/>
    <w:rsid w:val="00980A94"/>
    <w:rsid w:val="009A4455"/>
    <w:rsid w:val="009A64F8"/>
    <w:rsid w:val="00A41CD2"/>
    <w:rsid w:val="00AE267D"/>
    <w:rsid w:val="00B01A07"/>
    <w:rsid w:val="00B440E9"/>
    <w:rsid w:val="00B84D11"/>
    <w:rsid w:val="00B9026E"/>
    <w:rsid w:val="00C00744"/>
    <w:rsid w:val="00C56D96"/>
    <w:rsid w:val="00CC0F49"/>
    <w:rsid w:val="00CC7355"/>
    <w:rsid w:val="00EF3808"/>
    <w:rsid w:val="00FC1A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2715B2"/>
  <w15:chartTrackingRefBased/>
  <w15:docId w15:val="{392C9E2A-8138-4C2C-991E-E8601BFE31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7A4F"/>
  </w:style>
  <w:style w:type="paragraph" w:styleId="Heading1">
    <w:name w:val="heading 1"/>
    <w:basedOn w:val="Normal"/>
    <w:next w:val="Normal"/>
    <w:link w:val="Heading1Char"/>
    <w:uiPriority w:val="9"/>
    <w:qFormat/>
    <w:rsid w:val="00EF38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F38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38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38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38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38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38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38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38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38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F38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38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38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38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38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38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38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3808"/>
    <w:rPr>
      <w:rFonts w:eastAsiaTheme="majorEastAsia" w:cstheme="majorBidi"/>
      <w:color w:val="272727" w:themeColor="text1" w:themeTint="D8"/>
    </w:rPr>
  </w:style>
  <w:style w:type="paragraph" w:styleId="Title">
    <w:name w:val="Title"/>
    <w:basedOn w:val="Normal"/>
    <w:next w:val="Normal"/>
    <w:link w:val="TitleChar"/>
    <w:uiPriority w:val="10"/>
    <w:qFormat/>
    <w:rsid w:val="00EF38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38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38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38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3808"/>
    <w:pPr>
      <w:spacing w:before="160"/>
      <w:jc w:val="center"/>
    </w:pPr>
    <w:rPr>
      <w:i/>
      <w:iCs/>
      <w:color w:val="404040" w:themeColor="text1" w:themeTint="BF"/>
    </w:rPr>
  </w:style>
  <w:style w:type="character" w:customStyle="1" w:styleId="QuoteChar">
    <w:name w:val="Quote Char"/>
    <w:basedOn w:val="DefaultParagraphFont"/>
    <w:link w:val="Quote"/>
    <w:uiPriority w:val="29"/>
    <w:rsid w:val="00EF3808"/>
    <w:rPr>
      <w:i/>
      <w:iCs/>
      <w:color w:val="404040" w:themeColor="text1" w:themeTint="BF"/>
    </w:rPr>
  </w:style>
  <w:style w:type="paragraph" w:styleId="ListParagraph">
    <w:name w:val="List Paragraph"/>
    <w:basedOn w:val="Normal"/>
    <w:uiPriority w:val="34"/>
    <w:qFormat/>
    <w:rsid w:val="00EF3808"/>
    <w:pPr>
      <w:ind w:left="720"/>
      <w:contextualSpacing/>
    </w:pPr>
  </w:style>
  <w:style w:type="character" w:styleId="IntenseEmphasis">
    <w:name w:val="Intense Emphasis"/>
    <w:basedOn w:val="DefaultParagraphFont"/>
    <w:uiPriority w:val="21"/>
    <w:qFormat/>
    <w:rsid w:val="00EF3808"/>
    <w:rPr>
      <w:i/>
      <w:iCs/>
      <w:color w:val="0F4761" w:themeColor="accent1" w:themeShade="BF"/>
    </w:rPr>
  </w:style>
  <w:style w:type="paragraph" w:styleId="IntenseQuote">
    <w:name w:val="Intense Quote"/>
    <w:basedOn w:val="Normal"/>
    <w:next w:val="Normal"/>
    <w:link w:val="IntenseQuoteChar"/>
    <w:uiPriority w:val="30"/>
    <w:qFormat/>
    <w:rsid w:val="00EF38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3808"/>
    <w:rPr>
      <w:i/>
      <w:iCs/>
      <w:color w:val="0F4761" w:themeColor="accent1" w:themeShade="BF"/>
    </w:rPr>
  </w:style>
  <w:style w:type="character" w:styleId="IntenseReference">
    <w:name w:val="Intense Reference"/>
    <w:basedOn w:val="DefaultParagraphFont"/>
    <w:uiPriority w:val="32"/>
    <w:qFormat/>
    <w:rsid w:val="00EF3808"/>
    <w:rPr>
      <w:b/>
      <w:bCs/>
      <w:smallCaps/>
      <w:color w:val="0F4761" w:themeColor="accent1" w:themeShade="BF"/>
      <w:spacing w:val="5"/>
    </w:rPr>
  </w:style>
  <w:style w:type="paragraph" w:customStyle="1" w:styleId="BODY">
    <w:name w:val="BODY"/>
    <w:basedOn w:val="Normal"/>
    <w:uiPriority w:val="99"/>
    <w:rsid w:val="005E7A4F"/>
    <w:pPr>
      <w:autoSpaceDE w:val="0"/>
      <w:autoSpaceDN w:val="0"/>
      <w:adjustRightInd w:val="0"/>
      <w:spacing w:after="0" w:line="240" w:lineRule="auto"/>
    </w:pPr>
    <w:rPr>
      <w:rFonts w:ascii="Verdana" w:hAnsi="Verdana" w:cs="Verdana"/>
      <w:kern w:val="0"/>
      <w:lang w:val="x-none"/>
    </w:rPr>
  </w:style>
  <w:style w:type="paragraph" w:styleId="Header">
    <w:name w:val="header"/>
    <w:basedOn w:val="Normal"/>
    <w:link w:val="HeaderChar"/>
    <w:uiPriority w:val="99"/>
    <w:unhideWhenUsed/>
    <w:rsid w:val="00CC73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7355"/>
  </w:style>
  <w:style w:type="paragraph" w:styleId="Footer">
    <w:name w:val="footer"/>
    <w:basedOn w:val="Normal"/>
    <w:link w:val="FooterChar"/>
    <w:uiPriority w:val="99"/>
    <w:unhideWhenUsed/>
    <w:rsid w:val="00CC73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7355"/>
  </w:style>
  <w:style w:type="paragraph" w:styleId="NormalWeb">
    <w:name w:val="Normal (Web)"/>
    <w:basedOn w:val="Normal"/>
    <w:uiPriority w:val="99"/>
    <w:semiHidden/>
    <w:unhideWhenUsed/>
    <w:rsid w:val="00B01A07"/>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BodyText">
    <w:name w:val="Body Text"/>
    <w:basedOn w:val="Normal"/>
    <w:link w:val="BodyTextChar"/>
    <w:qFormat/>
    <w:rsid w:val="00AE267D"/>
    <w:pPr>
      <w:spacing w:before="180" w:after="180" w:line="240" w:lineRule="auto"/>
    </w:pPr>
    <w:rPr>
      <w:kern w:val="0"/>
      <w:lang w:val="en"/>
      <w14:ligatures w14:val="none"/>
    </w:rPr>
  </w:style>
  <w:style w:type="character" w:customStyle="1" w:styleId="BodyTextChar">
    <w:name w:val="Body Text Char"/>
    <w:basedOn w:val="DefaultParagraphFont"/>
    <w:link w:val="BodyText"/>
    <w:rsid w:val="00AE267D"/>
    <w:rPr>
      <w:kern w:val="0"/>
      <w:lang w:val="en"/>
      <w14:ligatures w14:val="none"/>
    </w:rPr>
  </w:style>
  <w:style w:type="paragraph" w:customStyle="1" w:styleId="FirstParagraph">
    <w:name w:val="First Paragraph"/>
    <w:basedOn w:val="BodyText"/>
    <w:next w:val="BodyText"/>
    <w:qFormat/>
    <w:rsid w:val="00AE267D"/>
  </w:style>
  <w:style w:type="paragraph" w:customStyle="1" w:styleId="Compact">
    <w:name w:val="Compact"/>
    <w:basedOn w:val="BodyText"/>
    <w:qFormat/>
    <w:rsid w:val="00AE267D"/>
    <w:pPr>
      <w:spacing w:before="36" w:after="36"/>
    </w:pPr>
  </w:style>
  <w:style w:type="table" w:customStyle="1" w:styleId="Table">
    <w:name w:val="Table"/>
    <w:semiHidden/>
    <w:unhideWhenUsed/>
    <w:qFormat/>
    <w:rsid w:val="00AE267D"/>
    <w:pPr>
      <w:spacing w:after="200" w:line="240" w:lineRule="auto"/>
    </w:pPr>
    <w:rPr>
      <w:kern w:val="0"/>
      <w:sz w:val="20"/>
      <w:szCs w:val="20"/>
      <w:lang w:val="en"/>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Hyperlink">
    <w:name w:val="Hyperlink"/>
    <w:basedOn w:val="DefaultParagraphFont"/>
    <w:rsid w:val="00AE267D"/>
    <w:rPr>
      <w:color w:val="156082"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biblehub.com/1_timothy/2-9.htm?utm_source=chatgpt.com" TargetMode="External"/><Relationship Id="rId21" Type="http://schemas.openxmlformats.org/officeDocument/2006/relationships/hyperlink" Target="https://biblehub.com/1_timothy/3-15.htm?utm_source=chatgpt.com" TargetMode="External"/><Relationship Id="rId42" Type="http://schemas.openxmlformats.org/officeDocument/2006/relationships/hyperlink" Target="https://biblehub.com/1_timothy/3-15.htm?utm_source=chatgpt.com" TargetMode="External"/><Relationship Id="rId47" Type="http://schemas.openxmlformats.org/officeDocument/2006/relationships/hyperlink" Target="https://biblehub.com/1_timothy/5-13.htm?utm_source=chatgpt.com" TargetMode="External"/><Relationship Id="rId63" Type="http://schemas.openxmlformats.org/officeDocument/2006/relationships/hyperlink" Target="https://biblehub.com/1_timothy/2-13.htm?utm_source=chatgpt.com" TargetMode="External"/><Relationship Id="rId68" Type="http://schemas.openxmlformats.org/officeDocument/2006/relationships/footer" Target="footer1.xml"/><Relationship Id="rId7" Type="http://schemas.openxmlformats.org/officeDocument/2006/relationships/hyperlink" Target="https://biblehub.com/1_timothy/1-3.htm?utm_source=chatgpt.com" TargetMode="External"/><Relationship Id="rId2" Type="http://schemas.openxmlformats.org/officeDocument/2006/relationships/styles" Target="styles.xml"/><Relationship Id="rId16" Type="http://schemas.openxmlformats.org/officeDocument/2006/relationships/hyperlink" Target="https://www.blueletterbible.org/tools/interlinear/mgnt/1ti/2/12/" TargetMode="External"/><Relationship Id="rId29" Type="http://schemas.openxmlformats.org/officeDocument/2006/relationships/hyperlink" Target="https://biblehub.com/1_timothy/3-2.htm?utm_source=chatgpt.com" TargetMode="External"/><Relationship Id="rId11" Type="http://schemas.openxmlformats.org/officeDocument/2006/relationships/hyperlink" Target="https://biblehub.com/1_timothy/3-15.htm?utm_source=chatgpt.com" TargetMode="External"/><Relationship Id="rId24" Type="http://schemas.openxmlformats.org/officeDocument/2006/relationships/hyperlink" Target="https://biblehub.com/2_timothy/2-2.htm?utm_source=chatgpt.com" TargetMode="External"/><Relationship Id="rId32" Type="http://schemas.openxmlformats.org/officeDocument/2006/relationships/hyperlink" Target="https://www.blueletterbible.org/tools/interlinear/mgnt/1ti/2/12/" TargetMode="External"/><Relationship Id="rId37" Type="http://schemas.openxmlformats.org/officeDocument/2006/relationships/hyperlink" Target="https://biblehub.com/1_timothy/1-3.htm?utm_source=chatgpt.com" TargetMode="External"/><Relationship Id="rId40" Type="http://schemas.openxmlformats.org/officeDocument/2006/relationships/hyperlink" Target="https://biblehub.com/1_timothy/2-9.htm?utm_source=chatgpt.com" TargetMode="External"/><Relationship Id="rId45" Type="http://schemas.openxmlformats.org/officeDocument/2006/relationships/hyperlink" Target="https://biblehub.com/1_timothy/5-13.htm?utm_source=chatgpt.com" TargetMode="External"/><Relationship Id="rId53" Type="http://schemas.openxmlformats.org/officeDocument/2006/relationships/hyperlink" Target="https://biblehub.com/1_timothy/3-2.htm?utm_source=chatgpt.com" TargetMode="External"/><Relationship Id="rId58" Type="http://schemas.openxmlformats.org/officeDocument/2006/relationships/hyperlink" Target="https://www.blueletterbible.org/lexicon/g1321/nasb20/mgnt/0-1/" TargetMode="External"/><Relationship Id="rId66" Type="http://schemas.openxmlformats.org/officeDocument/2006/relationships/hyperlink" Target="https://biblehub.com/2_timothy/2-2.htm?utm_source=chatgpt.com" TargetMode="External"/><Relationship Id="rId5" Type="http://schemas.openxmlformats.org/officeDocument/2006/relationships/footnotes" Target="footnotes.xml"/><Relationship Id="rId61" Type="http://schemas.openxmlformats.org/officeDocument/2006/relationships/hyperlink" Target="https://biblehub.com/1_timothy/2-11.htm?utm_source=chatgpt.com" TargetMode="External"/><Relationship Id="rId19" Type="http://schemas.openxmlformats.org/officeDocument/2006/relationships/hyperlink" Target="https://biblehub.com/1_timothy/2-13.htm?utm_source=chatgpt.com" TargetMode="External"/><Relationship Id="rId14" Type="http://schemas.openxmlformats.org/officeDocument/2006/relationships/hyperlink" Target="https://biblehub.com/1_timothy/5-14.htm?utm_source=chatgpt.com" TargetMode="External"/><Relationship Id="rId22" Type="http://schemas.openxmlformats.org/officeDocument/2006/relationships/hyperlink" Target="https://biblehub.com/1_timothy/3-2.htm?utm_source=chatgpt.com" TargetMode="External"/><Relationship Id="rId27" Type="http://schemas.openxmlformats.org/officeDocument/2006/relationships/hyperlink" Target="https://www.blueletterbible.org/tools/interlinear/mgnt/1ti/2/12/" TargetMode="External"/><Relationship Id="rId30" Type="http://schemas.openxmlformats.org/officeDocument/2006/relationships/hyperlink" Target="https://biblehub.com/1_timothy/5-13.htm?utm_source=chatgpt.com" TargetMode="External"/><Relationship Id="rId35" Type="http://schemas.openxmlformats.org/officeDocument/2006/relationships/hyperlink" Target="https://biblehub.com/1_timothy/1-3.htm?utm_source=chatgpt.com" TargetMode="External"/><Relationship Id="rId43" Type="http://schemas.openxmlformats.org/officeDocument/2006/relationships/hyperlink" Target="https://biblehub.com/1_timothy/3-15.htm?utm_source=chatgpt.com" TargetMode="External"/><Relationship Id="rId48" Type="http://schemas.openxmlformats.org/officeDocument/2006/relationships/hyperlink" Target="https://biblehub.com/1_timothy/5-14.htm?utm_source=chatgpt.com" TargetMode="External"/><Relationship Id="rId56" Type="http://schemas.openxmlformats.org/officeDocument/2006/relationships/hyperlink" Target="https://www.blueletterbible.org/tools/interlinear/mgnt/1ti/2/12/" TargetMode="External"/><Relationship Id="rId64" Type="http://schemas.openxmlformats.org/officeDocument/2006/relationships/hyperlink" Target="https://www.biblegateway.com/passage/?search=Titus+2%3A3-5&amp;version=NIV&amp;utm_source=chatgpt.com" TargetMode="External"/><Relationship Id="rId69" Type="http://schemas.openxmlformats.org/officeDocument/2006/relationships/fontTable" Target="fontTable.xml"/><Relationship Id="rId8" Type="http://schemas.openxmlformats.org/officeDocument/2006/relationships/hyperlink" Target="https://biblehub.com/1_timothy/2-9.htm?utm_source=chatgpt.com" TargetMode="External"/><Relationship Id="rId51" Type="http://schemas.openxmlformats.org/officeDocument/2006/relationships/hyperlink" Target="https://biblehub.com/1_timothy/3-2.htm?utm_source=chatgpt.com" TargetMode="External"/><Relationship Id="rId3" Type="http://schemas.openxmlformats.org/officeDocument/2006/relationships/settings" Target="settings.xml"/><Relationship Id="rId12" Type="http://schemas.openxmlformats.org/officeDocument/2006/relationships/hyperlink" Target="https://biblehub.com/1_timothy/2-9.htm?utm_source=chatgpt.com" TargetMode="External"/><Relationship Id="rId17" Type="http://schemas.openxmlformats.org/officeDocument/2006/relationships/hyperlink" Target="https://www.blueletterbible.org/lexicon/g1321/nasb20/mgnt/0-1/" TargetMode="External"/><Relationship Id="rId25" Type="http://schemas.openxmlformats.org/officeDocument/2006/relationships/hyperlink" Target="https://biblehub.com/1_timothy/1-3.htm?utm_source=chatgpt.com" TargetMode="External"/><Relationship Id="rId33" Type="http://schemas.openxmlformats.org/officeDocument/2006/relationships/hyperlink" Target="https://biblehub.com/1_timothy/1-3.htm?utm_source=chatgpt.com" TargetMode="External"/><Relationship Id="rId38" Type="http://schemas.openxmlformats.org/officeDocument/2006/relationships/hyperlink" Target="https://biblehub.com/1_timothy/2-9.htm?utm_source=chatgpt.com" TargetMode="External"/><Relationship Id="rId46" Type="http://schemas.openxmlformats.org/officeDocument/2006/relationships/hyperlink" Target="https://biblehub.com/1_timothy/5-13.htm?utm_source=chatgpt.com" TargetMode="External"/><Relationship Id="rId59" Type="http://schemas.openxmlformats.org/officeDocument/2006/relationships/hyperlink" Target="https://www.blueletterbible.org/lexicon/g1321/nasb20/mgnt/0-1/" TargetMode="External"/><Relationship Id="rId67" Type="http://schemas.openxmlformats.org/officeDocument/2006/relationships/hyperlink" Target="https://biblehub.com/2_timothy/2-2.htm?utm_source=chatgpt.com" TargetMode="External"/><Relationship Id="rId20" Type="http://schemas.openxmlformats.org/officeDocument/2006/relationships/hyperlink" Target="https://biblehub.com/1_timothy/5-14.htm?utm_source=chatgpt.com" TargetMode="External"/><Relationship Id="rId41" Type="http://schemas.openxmlformats.org/officeDocument/2006/relationships/hyperlink" Target="https://biblehub.com/1_timothy/2-9.htm?utm_source=chatgpt.com" TargetMode="External"/><Relationship Id="rId54" Type="http://schemas.openxmlformats.org/officeDocument/2006/relationships/hyperlink" Target="https://www.blueletterbible.org/tools/interlinear/mgnt/1ti/2/12/" TargetMode="External"/><Relationship Id="rId62" Type="http://schemas.openxmlformats.org/officeDocument/2006/relationships/hyperlink" Target="https://biblehub.com/1_timothy/2-13.htm?utm_source=chatgpt.com" TargetMode="External"/><Relationship Id="rId7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biblehub.com/1_timothy/3-2.htm?utm_source=chatgpt.com" TargetMode="External"/><Relationship Id="rId23" Type="http://schemas.openxmlformats.org/officeDocument/2006/relationships/hyperlink" Target="https://www.biblegateway.com/passage/?search=Titus+2%3A3-5&amp;version=NIV&amp;utm_source=chatgpt.com" TargetMode="External"/><Relationship Id="rId28" Type="http://schemas.openxmlformats.org/officeDocument/2006/relationships/hyperlink" Target="https://biblehub.com/1_timothy/2-13.htm?utm_source=chatgpt.com" TargetMode="External"/><Relationship Id="rId36" Type="http://schemas.openxmlformats.org/officeDocument/2006/relationships/hyperlink" Target="https://biblehub.com/1_timothy/1-3.htm?utm_source=chatgpt.com" TargetMode="External"/><Relationship Id="rId49" Type="http://schemas.openxmlformats.org/officeDocument/2006/relationships/hyperlink" Target="https://biblehub.com/1_timothy/5-14.htm?utm_source=chatgpt.com" TargetMode="External"/><Relationship Id="rId57" Type="http://schemas.openxmlformats.org/officeDocument/2006/relationships/hyperlink" Target="https://www.blueletterbible.org/tools/interlinear/mgnt/1ti/2/12/" TargetMode="External"/><Relationship Id="rId10" Type="http://schemas.openxmlformats.org/officeDocument/2006/relationships/hyperlink" Target="https://biblehub.com/1_timothy/1-3.htm?utm_source=chatgpt.com" TargetMode="External"/><Relationship Id="rId31" Type="http://schemas.openxmlformats.org/officeDocument/2006/relationships/hyperlink" Target="https://biblehub.com/1_timothy/1-3.htm?utm_source=chatgpt.com" TargetMode="External"/><Relationship Id="rId44" Type="http://schemas.openxmlformats.org/officeDocument/2006/relationships/hyperlink" Target="https://biblehub.com/1_timothy/3-15.htm?utm_source=chatgpt.com" TargetMode="External"/><Relationship Id="rId52" Type="http://schemas.openxmlformats.org/officeDocument/2006/relationships/hyperlink" Target="https://biblehub.com/1_timothy/3-2.htm?utm_source=chatgpt.com" TargetMode="External"/><Relationship Id="rId60" Type="http://schemas.openxmlformats.org/officeDocument/2006/relationships/hyperlink" Target="https://biblehub.com/1_timothy/2-11.htm?utm_source=chatgpt.com" TargetMode="External"/><Relationship Id="rId65" Type="http://schemas.openxmlformats.org/officeDocument/2006/relationships/hyperlink" Target="https://www.biblegateway.com/passage/?search=Titus+2%3A3-5&amp;version=NIV&amp;utm_source=chatgpt.com" TargetMode="External"/><Relationship Id="rId4" Type="http://schemas.openxmlformats.org/officeDocument/2006/relationships/webSettings" Target="webSettings.xml"/><Relationship Id="rId9" Type="http://schemas.openxmlformats.org/officeDocument/2006/relationships/hyperlink" Target="https://biblehub.com/1_timothy/1-3.htm?utm_source=chatgpt.com" TargetMode="External"/><Relationship Id="rId13" Type="http://schemas.openxmlformats.org/officeDocument/2006/relationships/hyperlink" Target="https://biblehub.com/1_timothy/5-13.htm?utm_source=chatgpt.com" TargetMode="External"/><Relationship Id="rId18" Type="http://schemas.openxmlformats.org/officeDocument/2006/relationships/hyperlink" Target="https://biblehub.com/1_timothy/2-11.htm?utm_source=chatgpt.com" TargetMode="External"/><Relationship Id="rId39" Type="http://schemas.openxmlformats.org/officeDocument/2006/relationships/hyperlink" Target="https://biblehub.com/1_timothy/2-9.htm?utm_source=chatgpt.com" TargetMode="External"/><Relationship Id="rId34" Type="http://schemas.openxmlformats.org/officeDocument/2006/relationships/hyperlink" Target="https://biblehub.com/1_timothy/1-3.htm?utm_source=chatgpt.com" TargetMode="External"/><Relationship Id="rId50" Type="http://schemas.openxmlformats.org/officeDocument/2006/relationships/hyperlink" Target="https://biblehub.com/1_timothy/3-2.htm?utm_source=chatgpt.com" TargetMode="External"/><Relationship Id="rId55" Type="http://schemas.openxmlformats.org/officeDocument/2006/relationships/hyperlink" Target="https://www.blueletterbible.org/tools/interlinear/mgnt/1ti/2/1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11</Pages>
  <Words>4316</Words>
  <Characters>24390</Characters>
  <Application>Microsoft Office Word</Application>
  <DocSecurity>0</DocSecurity>
  <Lines>530</Lines>
  <Paragraphs>281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Pennington</dc:creator>
  <cp:keywords/>
  <dc:description/>
  <cp:lastModifiedBy>Phil Pennington</cp:lastModifiedBy>
  <cp:revision>3</cp:revision>
  <cp:lastPrinted>2026-02-16T15:42:00Z</cp:lastPrinted>
  <dcterms:created xsi:type="dcterms:W3CDTF">2026-02-16T15:42:00Z</dcterms:created>
  <dcterms:modified xsi:type="dcterms:W3CDTF">2026-02-16T15:42:00Z</dcterms:modified>
</cp:coreProperties>
</file>