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40"/>
          <w:szCs w:val="40"/>
        </w:rPr>
      </w:pPr>
      <w:bookmarkStart w:colFirst="0" w:colLast="0" w:name="_vrcgq5sp0kle" w:id="0"/>
      <w:bookmarkEnd w:id="0"/>
      <w:r w:rsidDel="00000000" w:rsidR="00000000" w:rsidRPr="00000000">
        <w:rPr>
          <w:b w:val="1"/>
          <w:sz w:val="40"/>
          <w:szCs w:val="40"/>
          <w:rtl w:val="0"/>
        </w:rPr>
        <w:t xml:space="preserve">Exercise 4: Arrange-Act-Assert (AAA) Pattern, Test Fixtures, Setup and Teardown Methods in JUnit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hpj8xcppi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s35bj3tss7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Scenario: Organizing Unit Tests with AAA Pattern and Lifecycle Methods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org.junit.After;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org.junit.Before;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org.junit.Test;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static org.junit.Assert.*;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public class AccountServiceTest {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private int balance;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@Before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setup() {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balance = 1000; // Arrange: Initial balance setup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System.out.println("Setup complete: Balance initialized");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@After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teardown() {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balance = 0;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System.out.println("Teardown complete: Balance reset");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testDeposit() {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balance += 500;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assertEquals(1500, balance);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@Test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public void testWithdrawal() {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balance -= 300;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assertEquals(700, balance);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6"/>
          <w:szCs w:val="26"/>
        </w:rPr>
        <w:drawing>
          <wp:inline distB="114300" distT="114300" distL="114300" distR="114300">
            <wp:extent cx="57312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