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f191be704883547d9d0824ebfb54362b7b9043"/>
    <w:p>
      <w:pPr>
        <w:pStyle w:val="1"/>
      </w:pPr>
      <w:r>
        <w:t xml:space="preserve">1. Анализ предметной области и существующих решений</w:t>
      </w:r>
    </w:p>
    <w:p>
      <w:pPr>
        <w:pStyle w:val="FirstParagraph"/>
      </w:pPr>
      <w:r>
        <w:t xml:space="preserve"> </w:t>
      </w:r>
    </w:p>
    <w:bookmarkStart w:id="9" w:name="постановка-задачи"/>
    <w:p>
      <w:pPr>
        <w:pStyle w:val="2"/>
      </w:pPr>
      <w:r>
        <w:t xml:space="preserve">1.1. Постановка задачи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>
      <w:pPr>
        <w:pStyle w:val="MyBulletList"/>
      </w:pPr>
      <w:r>
        <w:t xml:space="preserve">найти подходящий товар в каталоге;</w:t>
      </w:r>
    </w:p>
    <w:p>
      <w:pPr>
        <w:pStyle w:val="MyBulletList"/>
      </w:pPr>
      <w:r>
        <w:t xml:space="preserve">автоматически выделить область на фото, которую нужно изменить;</w:t>
      </w:r>
    </w:p>
    <w:p>
      <w:pPr>
        <w:pStyle w:val="MyBulletList"/>
      </w:pPr>
      <w:r>
        <w:t xml:space="preserve">сгенерировать фотореалистичное изображение с применённым товаром.</w:t>
      </w:r>
    </w:p>
    <w:p>
      <w:pPr>
        <w:pStyle w:val="a8"/>
      </w:pPr>
      <w:r>
        <w:t xml:space="preserve">При этом пользователь не должен выполнять никаких ручных операций — ни разметки маски, ни выбора параметров модели.</w:t>
      </w:r>
    </w:p>
    <w:p>
      <w:pPr>
        <w:pStyle w:val="a8"/>
      </w:pPr>
      <w:r>
        <w:t xml:space="preserve">Задача относится к классу задач условной генерации изображений с ограничениями: результат должен быть фотореалистичным, соответствовать референсному изображению детали, не изменять области вне маски и соответствовать исходному освещению и перспективе сцены. Дополнительная сложность — неопределённость запроса: пользователь может написать «поставь карбоновый спойлер» или «смени диски на чёрные», не указывая конкретную позицию из каталога. Система должна самостоятельно интерпретировать намерение, найти подходящий товар и выполнить все шаги пайплайна.</w:t>
      </w:r>
    </w:p>
    <w:p>
      <w:pPr>
        <w:pStyle w:val="a8"/>
      </w:pPr>
      <w:r>
        <w:t xml:space="preserve"> </w:t>
      </w:r>
    </w:p>
    <w:bookmarkEnd w:id="9"/>
    <w:bookmarkStart w:id="10" w:name="X0f5dd22aba4f276a9d946a6d5c29134bcd22a43"/>
    <w:p>
      <w:pPr>
        <w:pStyle w:val="2"/>
      </w:pPr>
      <w:r>
        <w:t xml:space="preserve">1.2. Обзор существующих систем визуализации товаров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визуализации товара на объекте покупателя решается в нескольких коммерческих продуктах, каждый из которых использует собственный технологический подход.</w:t>
      </w:r>
    </w:p>
    <w:p>
      <w:pPr>
        <w:pStyle w:val="a8"/>
      </w:pPr>
      <w:r>
        <w:rPr>
          <w:b/>
          <w:bCs/>
        </w:rPr>
        <w:t xml:space="preserve">Zalando</w:t>
      </w:r>
      <w:r>
        <w:t xml:space="preserve"> </w:t>
      </w:r>
      <w:r>
        <w:t xml:space="preserve">в 2024 году запустил пилот 3D-примерочной: пользователь указывает рост, вес и параметры фигуры, после чего система генерирует персонализированный аватар и отображает одежду с учётом посадки и складок ткани. В апреле 2025 года Zalando приобрёл стартап DeepAR — крупнейшего европейского поставщика AR-примерки — для формирования собственного каталога цифровых двойников одежды. Система работает только с брендами, предоставившими 3D-модели своих изделий; произвольный каталог не поддерживается.</w:t>
      </w:r>
    </w:p>
    <w:p>
      <w:pPr>
        <w:pStyle w:val="a8"/>
      </w:pPr>
      <w:r>
        <w:rPr>
          <w:b/>
          <w:bCs/>
        </w:rPr>
        <w:t xml:space="preserve">IKEA Place</w:t>
      </w:r>
      <w:r>
        <w:t xml:space="preserve"> </w:t>
      </w:r>
      <w:r>
        <w:t xml:space="preserve">— AR-приложение на базе Apple ARKit и Google ARCore, позволяющее разместить мебель в реальном интерьере через камеру смартфона. Система строит 3D-карту помещения в реальном времени и накладывает модель мебели с соблюдением масштаба и освещения. Ограничение аналогичное: для каждой единицы товара требуется профессионально подготовленная 3D-модель, что делает решение неприменимым для длинного хвоста каталога.</w:t>
      </w:r>
    </w:p>
    <w:p>
      <w:pPr>
        <w:pStyle w:val="a8"/>
      </w:pPr>
      <w:r>
        <w:rPr>
          <w:b/>
          <w:bCs/>
        </w:rPr>
        <w:t xml:space="preserve">Amazon Virtual Try-On</w:t>
      </w:r>
      <w:r>
        <w:t xml:space="preserve"> </w:t>
      </w:r>
      <w:r>
        <w:t xml:space="preserve">— инструмент примерки одежды, запущенный в 2023 году. Пользователь загружает собственное фото, система с помощью диффузионных моделей накладывает выбранную вещь с адаптацией к позе и фигуре. По данным Amazon, внедрение инструмента снизило возвраты в категории одежды на 15–25% среди пользователей, воспользовавшихся примеркой. Принципиальное ограничение — система заточена исключительно под одежду и не применима к другим категориям.</w:t>
      </w:r>
    </w:p>
    <w:p>
      <w:pPr>
        <w:pStyle w:val="a8"/>
      </w:pPr>
      <w:r>
        <w:rPr>
          <w:b/>
          <w:bCs/>
        </w:rPr>
        <w:t xml:space="preserve">Google Virtual Try-On</w:t>
      </w:r>
      <w:r>
        <w:t xml:space="preserve"> </w:t>
      </w:r>
      <w:r>
        <w:t xml:space="preserve">(обновлён в 2025) — реализован на базе диффузионной модели, разработанной командой Google Research. Принимает фото пользователя и изображение одежды, генерирует результат примерки с сохранением деталей ткани, паттернов и текстуры. Доступен в Google Search и Google Shopping. Область применения ограничена одеждой и обувью.</w:t>
      </w:r>
    </w:p>
    <w:p>
      <w:pPr>
        <w:pStyle w:val="a8"/>
      </w:pPr>
      <w:r>
        <w:rPr>
          <w:b/>
          <w:bCs/>
        </w:rPr>
        <w:t xml:space="preserve">Snap AR</w:t>
      </w:r>
      <w:r>
        <w:t xml:space="preserve"> </w:t>
      </w:r>
      <w:r>
        <w:t xml:space="preserve">— платформа дополненной реальности, используемая сотнями брендов (Nike, MAC, Gucci) для примерки обуви, очков, украшений и макияжа через фронтальную камеру смартфона. Основана на распознавании лица и рук в реальном времени. Требует разработки отдельного Lens под каждый товар и не поддерживает пользовательский контент.</w:t>
      </w:r>
    </w:p>
    <w:p>
      <w:pPr>
        <w:pStyle w:val="a8"/>
      </w:pPr>
      <w:r>
        <w:rPr>
          <w:b/>
          <w:bCs/>
        </w:rPr>
        <w:t xml:space="preserve">Vue.ai</w:t>
      </w:r>
      <w:r>
        <w:t xml:space="preserve"> </w:t>
      </w:r>
      <w:r>
        <w:t xml:space="preserve">— B2B-платформа для ритейлеров, автоматически генерирующая lifestyle-контент: помещает товар на модель или в интерьер без фотосессии. Заточена под fashion и home decor, работает с каталогами, но не поддерживает загрузку собственной фотографии покупателем.</w:t>
      </w:r>
    </w:p>
    <w:p>
      <w:pPr>
        <w:pStyle w:val="a8"/>
      </w:pPr>
      <w:r>
        <w:rPr>
          <w:b/>
          <w:bCs/>
        </w:rPr>
        <w:t xml:space="preserve">Общие ограничения</w:t>
      </w:r>
      <w:r>
        <w:t xml:space="preserve"> </w:t>
      </w:r>
      <w:r>
        <w:t xml:space="preserve">всех перечисленных решений:</w:t>
      </w:r>
    </w:p>
    <w:p>
      <w:pPr>
        <w:pStyle w:val="MyBulletList"/>
      </w:pPr>
      <w:r>
        <w:t xml:space="preserve">заточенность под конкретные категории товаров (одежда, мебель, косметика);</w:t>
      </w:r>
    </w:p>
    <w:p>
      <w:pPr>
        <w:pStyle w:val="MyBulletList"/>
      </w:pPr>
      <w:r>
        <w:t xml:space="preserve">необходимость специально подготовленных 3D-моделей или размеченных датасетов для каждого товара;</w:t>
      </w:r>
    </w:p>
    <w:p>
      <w:pPr>
        <w:pStyle w:val="MyBulletList"/>
      </w:pPr>
      <w:r>
        <w:t xml:space="preserve">отсутствие поддержки произвольного пользовательского запроса на естественном языке;</w:t>
      </w:r>
    </w:p>
    <w:p>
      <w:pPr>
        <w:pStyle w:val="MyBulletList"/>
      </w:pPr>
      <w:r>
        <w:t xml:space="preserve">отсутствие сквозной автоматизации: пользователь самостоятельно выбирает товар и область применения.</w:t>
      </w:r>
    </w:p>
    <w:p>
      <w:pPr>
        <w:pStyle w:val="a8"/>
      </w:pPr>
      <w:r>
        <w:t xml:space="preserve">Ни одна из рассмотренных систем не решает задачу, сформулированную в данной работе: автоматически интерпретировать текстовый запрос, найти товар в каталоге и визуализировать его применение на произвольном пользовательском фото без ручной разметки.</w:t>
      </w:r>
    </w:p>
    <w:p>
      <w:pPr>
        <w:pStyle w:val="a8"/>
      </w:pPr>
      <w:r>
        <w:t xml:space="preserve"> </w:t>
      </w:r>
    </w:p>
    <w:bookmarkEnd w:id="10"/>
    <w:bookmarkStart w:id="15" w:name="методы-сегментации-изображений"/>
    <w:p>
      <w:pPr>
        <w:pStyle w:val="2"/>
      </w:pPr>
      <w:r>
        <w:t xml:space="preserve">1.3. Методы сегментации изображений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bookmarkStart w:id="11" w:name="принцип-работы-моделей-сегментации"/>
    <w:p>
      <w:pPr>
        <w:pStyle w:val="3"/>
      </w:pPr>
      <w:r>
        <w:t xml:space="preserve">1.3.1. Принцип работы моделей сегментации</w:t>
      </w:r>
    </w:p>
    <w:p>
      <w:pPr>
        <w:pStyle w:val="FirstParagraph"/>
      </w:pPr>
      <w:r>
        <w:t xml:space="preserve">Сегментация изображений — задача присвоения каждому пикселю изображения метки, указывающей, к какому объекту или классу он принадлежит. В контексте данной работы требуется</w:t>
      </w:r>
      <w:r>
        <w:t xml:space="preserve"> </w:t>
      </w:r>
      <w:r>
        <w:rPr>
          <w:i/>
          <w:iCs/>
        </w:rPr>
        <w:t xml:space="preserve">инстансная</w:t>
      </w:r>
      <w:r>
        <w:t xml:space="preserve"> </w:t>
      </w:r>
      <w:r>
        <w:t xml:space="preserve">сегментация: выделение конкретного экземпляра объекта (например, «задний бампер этого автомобиля») в виде бинарной маски.</w:t>
      </w:r>
    </w:p>
    <w:p>
      <w:pPr>
        <w:pStyle w:val="a8"/>
      </w:pPr>
      <w:r>
        <w:t xml:space="preserve">Современные модели сегментации, как правило, строятся на архитектуре</w:t>
      </w:r>
      <w:r>
        <w:t xml:space="preserve"> </w:t>
      </w:r>
      <w:r>
        <w:rPr>
          <w:i/>
          <w:iCs/>
        </w:rPr>
        <w:t xml:space="preserve">encoder–decoder</w:t>
      </w:r>
      <w:r>
        <w:t xml:space="preserve">: энкодер извлекает иерархические признаки из изображения, декодер восстанавливает пространственное разрешение и предсказывает маску. Ключевой метрикой качества является</w:t>
      </w:r>
      <w:r>
        <w:t xml:space="preserve"> </w:t>
      </w:r>
      <w:r>
        <w:rPr>
          <w:b/>
          <w:bCs/>
        </w:rPr>
        <w:t xml:space="preserve">IoU</w:t>
      </w:r>
      <w:r>
        <w:t xml:space="preserve"> </w:t>
      </w:r>
      <w:r>
        <w:t xml:space="preserve">(Intersection over Union) — отношение площади пересечения предсказанной и эталонной масок к площади их объединения. Значение IoU=1,0 соответствует идеальному совпадению, IoU≥0,5 считается приемлемым результатом для большинства прикладных задач.</w:t>
      </w:r>
    </w:p>
    <w:bookmarkEnd w:id="11"/>
    <w:bookmarkStart w:id="12" w:name="сравнение-моделей-семейства-sam"/>
    <w:p>
      <w:pPr>
        <w:pStyle w:val="3"/>
      </w:pPr>
      <w:r>
        <w:t xml:space="preserve">1.3.2. Сравнение моделей семейства SAM</w:t>
      </w:r>
    </w:p>
    <w:p>
      <w:pPr>
        <w:pStyle w:val="FirstParagraph"/>
      </w:pPr>
      <w:r>
        <w:rPr>
          <w:b/>
          <w:bCs/>
        </w:rPr>
        <w:t xml:space="preserve">SAM 1</w:t>
      </w:r>
      <w:r>
        <w:t xml:space="preserve"> </w:t>
      </w:r>
      <w:r>
        <w:t xml:space="preserve">(Meta AI, 2023) — первая универсальная модель сегментации с открытыми весами. Принимает подсказки в виде точек, bounding box или частичной маски и возвращает бинарную маску объекта. Архитектурно состоит из ViT-энкодера изображения, лёгкого энкодера подсказок и mask decoder на основе двустороннего трансформера. Недостатки: работает только с изображениями, не поддерживает видео; ViT-H вариант требует значительных вычислительных ресурсов.</w:t>
      </w:r>
    </w:p>
    <w:p>
      <w:pPr>
        <w:pStyle w:val="a8"/>
      </w:pPr>
      <w:r>
        <w:rPr>
          <w:b/>
          <w:bCs/>
        </w:rPr>
        <w:t xml:space="preserve">SAM 2</w:t>
      </w:r>
      <w:r>
        <w:t xml:space="preserve"> </w:t>
      </w:r>
      <w:r>
        <w:t xml:space="preserve">(Meta AI, июль 2024) — расширенная версия с поддержкой видеосегментации на основе потоковой памяти (</w:t>
      </w:r>
      <w:r>
        <w:rPr>
          <w:i/>
          <w:iCs/>
        </w:rPr>
        <w:t xml:space="preserve">streaming memory</w:t>
      </w:r>
      <w:r>
        <w:t xml:space="preserve">). Ключевое архитектурное нововведение — memory encoder и memory attention: модель сохраняет признаки предыдущих кадров и использует их для поддержания трекинга объекта во времени. На изображениях SAM 2 работает в 6 раз быстрее SAM 1 при более высоком качестве (61,4% mIoU против 58,1% по бенчмарку SA-23).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>
      <w:pPr>
        <w:pStyle w:val="a8"/>
      </w:pPr>
      <w:r>
        <w:rPr>
          <w:b/>
          <w:bCs/>
        </w:rPr>
        <w:t xml:space="preserve">SAM 3</w:t>
      </w:r>
      <w:r>
        <w:t xml:space="preserve"> </w:t>
      </w:r>
      <w:r>
        <w:t xml:space="preserve">(Meta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decoupled detector–tracker архитектуру и датасет из 4 млн уникальных концептов. Представляет интерес для будущих версий системы как замена связки SAM 2 + GroundingDINO.</w:t>
      </w:r>
    </w:p>
    <w:bookmarkEnd w:id="12"/>
    <w:bookmarkStart w:id="13" w:name="сравнение-детекторов-с-открытым-словарём"/>
    <w:p>
      <w:pPr>
        <w:pStyle w:val="3"/>
      </w:pPr>
      <w:r>
        <w:t xml:space="preserve">1.3.3. Сравнение детекторов с открытым словарём</w:t>
      </w:r>
    </w:p>
    <w:p>
      <w:pPr>
        <w:pStyle w:val="FirstParagraph"/>
      </w:pPr>
      <w:r>
        <w:t xml:space="preserve">Для передачи SAM 2 координат объекта по текстовому запросу требуется отдельный детектор, способный локализовать произвольный объект без заранее заданного набора классов — так называемый</w:t>
      </w:r>
      <w:r>
        <w:t xml:space="preserve"> </w:t>
      </w:r>
      <w:r>
        <w:rPr>
          <w:i/>
          <w:iCs/>
        </w:rPr>
        <w:t xml:space="preserve">open-vocabulary detector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GLIP</w:t>
      </w:r>
      <w:r>
        <w:t xml:space="preserve"> </w:t>
      </w:r>
      <w:r>
        <w:t xml:space="preserve">(2022) — одна из первых моделей, объединивших детекцию и языковое заземление. Использует одностадийный бэкбон, что ограничивает глубину слияния визуальных и текстовых признаков и снижает точность при сложных текстовых запросах.</w:t>
      </w:r>
    </w:p>
    <w:p>
      <w:pPr>
        <w:pStyle w:val="a8"/>
      </w:pPr>
      <w:r>
        <w:rPr>
          <w:b/>
          <w:bCs/>
        </w:rPr>
        <w:t xml:space="preserve">OWL-ViT / OWLv2</w:t>
      </w:r>
      <w:r>
        <w:t xml:space="preserve"> </w:t>
      </w:r>
      <w:r>
        <w:t xml:space="preserve">(Google) — прикрепляет классификационные головы к ViT-бэкбону. Рекомендуется для задач с часто меняющимся набором классов, однако уступает GroundingDINO по точности на zero-shot бенчмарках COCO и LVIS.</w:t>
      </w:r>
    </w:p>
    <w:p>
      <w:pPr>
        <w:pStyle w:val="a8"/>
      </w:pPr>
      <w:r>
        <w:rPr>
          <w:b/>
          <w:bCs/>
        </w:rPr>
        <w:t xml:space="preserve">GroundingDINO</w:t>
      </w:r>
      <w:r>
        <w:t xml:space="preserve"> </w:t>
      </w:r>
      <w:r>
        <w:t xml:space="preserve">(IDEA Research, ECCV 2024) — превосходит как GLIP, так и OWL-ViT на zero-shot бенчмарках за счёт более глубокого слияния модальностей. Архитектура строится на базе DINO-детектора с добавлением</w:t>
      </w:r>
      <w:r>
        <w:t xml:space="preserve"> </w:t>
      </w:r>
      <w:r>
        <w:rPr>
          <w:i/>
          <w:iCs/>
        </w:rPr>
        <w:t xml:space="preserve">feature enhancer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cross-modality decoder</w:t>
      </w:r>
      <w:r>
        <w:t xml:space="preserve">: текстовые и визуальные признаки обмениваются информацией на нескольких уровнях сети, что позволяет модели точно сопоставлять фразы из запроса с регионами изображения. Имеет официальную интеграцию с SAM 2 в виде пайплайна Grounded SAM 2. Выбран в данной работе как наиболее точный открытый детектор с текстовым управлением.</w:t>
      </w:r>
    </w:p>
    <w:bookmarkEnd w:id="13"/>
    <w:bookmarkStart w:id="14" w:name="итоговая-связка"/>
    <w:p>
      <w:pPr>
        <w:pStyle w:val="3"/>
      </w:pPr>
      <w:r>
        <w:t xml:space="preserve">1.3.4. Итоговая связка</w:t>
      </w:r>
    </w:p>
    <w:p>
      <w:pPr>
        <w:pStyle w:val="FirstParagraph"/>
      </w:pPr>
      <w:r>
        <w:t xml:space="preserve">В системе используется Grounded SAM 2: GroundingDINO локализует объект по текстовому запросу пользователя и возвращает bounding box; SAM 2 строит точную бинарную маску по полученному bounding box. Это позволяет сегментировать произвольные объекты без дообучения на специализированных датасетах — достаточно текстового описания на естественном языке.</w:t>
      </w:r>
    </w:p>
    <w:p>
      <w:pPr>
        <w:pStyle w:val="a8"/>
      </w:pPr>
      <w:r>
        <w:t xml:space="preserve"> </w:t>
      </w:r>
    </w:p>
    <w:bookmarkEnd w:id="14"/>
    <w:bookmarkEnd w:id="15"/>
    <w:bookmarkStart w:id="19" w:name="диффузионные-модели-инпейнтинга"/>
    <w:p>
      <w:pPr>
        <w:pStyle w:val="2"/>
      </w:pPr>
      <w:r>
        <w:t xml:space="preserve">1.4. Диффузионные модели инпейнтинга</w:t>
      </w:r>
    </w:p>
    <w:p>
      <w:pPr>
        <w:pStyle w:val="FirstParagraph"/>
      </w:pPr>
      <w:r>
        <w:t xml:space="preserve"> </w:t>
      </w:r>
    </w:p>
    <w:bookmarkStart w:id="16" w:name="принцип-работы-диффузионных-моделей"/>
    <w:p>
      <w:pPr>
        <w:pStyle w:val="3"/>
      </w:pPr>
      <w:r>
        <w:t xml:space="preserve">1.4.1. Принцип работы диффузионных моделей</w:t>
      </w:r>
    </w:p>
    <w:p>
      <w:pPr>
        <w:pStyle w:val="FirstParagraph"/>
      </w:pPr>
      <w:r>
        <w:t xml:space="preserve">Диффузионные модели относятся к классу генеративных моделей, основанных на двух процессах:</w:t>
      </w:r>
      <w:r>
        <w:t xml:space="preserve"> </w:t>
      </w:r>
      <w:r>
        <w:rPr>
          <w:i/>
          <w:iCs/>
        </w:rPr>
        <w:t xml:space="preserve">forward diffusion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reverse diffusion</w:t>
      </w:r>
      <w:r>
        <w:t xml:space="preserve">. В прямом процессе к исходному изображению последовательно добавляется гауссовский шум до тех пор, пока изображение не превратится в чистый шум. Обратный процесс — функция, которую обучает нейронная сеть: предсказать предыдущий (менее зашумлённый) шаг по текущему состоянию и текстовому условию. После обучения генерация нового изображения сводится к итеративной денойзинг-процедуре: начиная с чистого шума, модель шаг за шагом восстанавливает изображение, соответствующее промпту.</w:t>
      </w:r>
    </w:p>
    <w:p>
      <w:pPr>
        <w:pStyle w:val="a8"/>
      </w:pPr>
      <w:r>
        <w:t xml:space="preserve">Для инпейнтинга задача формулируется иначе: шум добавляется только в замаскированную область, а остальные пиксели фиксируются. Модель обучается заполнять маскированную зону так, чтобы результат был согласован с контекстом вокруг маски.</w:t>
      </w:r>
    </w:p>
    <w:p>
      <w:pPr>
        <w:pStyle w:val="a8"/>
      </w:pPr>
      <w:r>
        <w:t xml:space="preserve">Ранние диффузионные модели для инпейнтинга (Stable Diffusion 1.5, SDXL) используют архитектуру U-Net в качестве денойзера. U-Net содержит энкодер-декодер со skip-connections, что обеспечивает сохранение пространственных деталей. Принципиальное ограничение U-Net-архитектуры — ограниченное рецептивное поле: модель хуже улавливает глобальные зависимости между удалёнными частями изображения.</w:t>
      </w:r>
    </w:p>
    <w:p>
      <w:pPr>
        <w:pStyle w:val="a8"/>
      </w:pPr>
      <w:r>
        <w:rPr>
          <w:b/>
          <w:bCs/>
        </w:rPr>
        <w:t xml:space="preserve">FLUX</w:t>
      </w:r>
      <w:r>
        <w:t xml:space="preserve"> </w:t>
      </w:r>
      <w:r>
        <w:t xml:space="preserve">(Black Forest Labs) использует принципиально иную архитектуру —</w:t>
      </w:r>
      <w:r>
        <w:t xml:space="preserve"> </w:t>
      </w:r>
      <w:r>
        <w:rPr>
          <w:i/>
          <w:iCs/>
        </w:rPr>
        <w:t xml:space="preserve">Multimodal Diffusion Transformer (MMDiT)</w:t>
      </w:r>
      <w:r>
        <w:t xml:space="preserve">. Вместо U-Net применяются трансформерные блоки с механизмом двунаправленного внимания между текстовыми токенами и патчами изображения. Это позволяет каждому патчу изображения «видеть» все остальные патчи и все токены промпта одновременно, что радикально улучшает семантическое понимание и глобальную когерентность генерации. FLUX также использует</w:t>
      </w:r>
      <w:r>
        <w:t xml:space="preserve"> </w:t>
      </w:r>
      <w:r>
        <w:rPr>
          <w:i/>
          <w:iCs/>
        </w:rPr>
        <w:t xml:space="preserve">flow matching</w:t>
      </w:r>
      <w:r>
        <w:t xml:space="preserve"> </w:t>
      </w:r>
      <w:r>
        <w:t xml:space="preserve">вместо классического DDPM-шедулера, что ускоряет процесс обратной диффузии.</w:t>
      </w:r>
    </w:p>
    <w:bookmarkEnd w:id="16"/>
    <w:bookmarkStart w:id="17" w:name="обзор-исследованных-моделей"/>
    <w:p>
      <w:pPr>
        <w:pStyle w:val="3"/>
      </w:pPr>
      <w:r>
        <w:t xml:space="preserve">1.4.2. Обзор исследованных моделей</w:t>
      </w:r>
    </w:p>
    <w:p>
      <w:pPr>
        <w:pStyle w:val="FirstParagraph"/>
      </w:pPr>
      <w:r>
        <w:t xml:space="preserve">В рамках работы исследованы и реализованы модели трёх классов — маскированный инпейнтинг, мультиизображённое редактирование и img2img.</w:t>
      </w:r>
    </w:p>
    <w:p>
      <w:pPr>
        <w:pStyle w:val="a8"/>
      </w:pPr>
      <w:r>
        <w:rPr>
          <w:b/>
          <w:bCs/>
        </w:rPr>
        <w:t xml:space="preserve">Маскированный инпейнтинг</w:t>
      </w:r>
    </w:p>
    <w:p>
      <w:pPr>
        <w:pStyle w:val="a8"/>
      </w:pPr>
      <w:r>
        <w:t xml:space="preserve">Классический подход: модель получает исходное изображение, бинарную маску (белая область = регион редактирования) и текстовый промпт.</w:t>
      </w:r>
    </w:p>
    <w:p>
      <w:pPr>
        <w:pStyle w:val="a8"/>
      </w:pPr>
      <w:r>
        <w:rPr>
          <w:b/>
          <w:bCs/>
        </w:rPr>
        <w:t xml:space="preserve">SDXL Inpainting</w:t>
      </w:r>
      <w:r>
        <w:t xml:space="preserve"> </w:t>
      </w:r>
      <w:r>
        <w:t xml:space="preserve">— полностью открытая модель (~7 ГБ), запускается локально без GPU-сервера, не требует токена HuggingFace. Оптимальное разрешение 1024×1024. Преимущество: компания может развернуть модель на 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 при нестандартных объектах.</w:t>
      </w:r>
    </w:p>
    <w:p>
      <w:pPr>
        <w:pStyle w:val="a8"/>
      </w:pPr>
      <w:r>
        <w:rPr>
          <w:b/>
          <w:bCs/>
        </w:rPr>
        <w:t xml:space="preserve">FLUX.1 Fill Dev</w:t>
      </w:r>
      <w:r>
        <w:t xml:space="preserve"> </w:t>
      </w:r>
      <w:r>
        <w:t xml:space="preserve">— модель на базе трансформерной архитектуры (~20 ГБ), значительно превосходит SDXL по качеству маскированной генерации благодаря глобальному вниманию MMDiT. Распространяется с открытыми весами, доступна для самостоятельного хостинга. В практических тестах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описанию», но не по внешнему виду.</w:t>
      </w:r>
    </w:p>
    <w:p>
      <w:pPr>
        <w:pStyle w:val="a8"/>
      </w:pPr>
      <w:r>
        <w:rPr>
          <w:b/>
          <w:bCs/>
        </w:rPr>
        <w:t xml:space="preserve">FLUX Inpainting</w:t>
      </w:r>
      <w:r>
        <w:t xml:space="preserve"> </w:t>
      </w:r>
      <w:r>
        <w:t xml:space="preserve">— облачная версия FLUX Fill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 Это вынужденный приём, компенсирующий отсутствие нативной поддержки нескольких входных изображений.</w:t>
      </w:r>
    </w:p>
    <w:p>
      <w:pPr>
        <w:pStyle w:val="a8"/>
      </w:pPr>
      <w:r>
        <w:rPr>
          <w:b/>
          <w:bCs/>
        </w:rPr>
        <w:t xml:space="preserve">Мультиизображённое редактирование</w:t>
      </w:r>
    </w:p>
    <w:p>
      <w:pPr>
        <w:pStyle w:val="a8"/>
      </w:pPr>
      <w:r>
        <w:t xml:space="preserve">Ключевая проблема однообразного инпейнтинга — невозможность передать модели точный визуальный облик детали. Мультиизображённые модели решают эту задачу нативно: они принимают несколько изображений в одном запросе и на основе промпта самостоятельно определяют роль каждого.</w:t>
      </w:r>
    </w:p>
    <w:p>
      <w:pPr>
        <w:pStyle w:val="a8"/>
      </w:pPr>
      <w:r>
        <w:rPr>
          <w:b/>
          <w:bCs/>
        </w:rPr>
        <w:t xml:space="preserve">FLUX.2 Pro</w:t>
      </w:r>
      <w:r>
        <w:t xml:space="preserve"> </w:t>
      </w:r>
      <w:r>
        <w:t xml:space="preserve">(Black Forest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промпта. Обеспечивает наилучшее качество по соответствию референсу и фотореалистичности из всех исследованных моделей.</w:t>
      </w:r>
    </w:p>
    <w:p>
      <w:pPr>
        <w:pStyle w:val="a8"/>
      </w:pPr>
      <w:r>
        <w:rPr>
          <w:b/>
          <w:bCs/>
        </w:rPr>
        <w:t xml:space="preserve">GPT Image 1</w:t>
      </w:r>
      <w:r>
        <w:t xml:space="preserve"> </w:t>
      </w:r>
      <w:r>
        <w:t xml:space="preserve">(OpenAI) — закрытая проприетарная модель, недоступная для самостоятельного развёртывания. Поддерживает инпейнтинг через RGBA-маску, однако склонна перерисовывать изображение целиком, что снижает сохранность деталей вне области редактирования. Зависимость от коммерческого API-ключа OpenAI делает её неприемлемой для решений, требующих независимости от сторонних платформ.</w:t>
      </w:r>
    </w:p>
    <w:p>
      <w:pPr>
        <w:pStyle w:val="a8"/>
      </w:pPr>
      <w:r>
        <w:rPr>
          <w:b/>
          <w:bCs/>
        </w:rPr>
        <w:t xml:space="preserve">Img2img (без маски)</w:t>
      </w:r>
    </w:p>
    <w:p>
      <w:pPr>
        <w:pStyle w:val="a8"/>
      </w:pPr>
      <w:r>
        <w:rPr>
          <w:b/>
          <w:bCs/>
        </w:rPr>
        <w:t xml:space="preserve">Flux 2 Klein</w:t>
      </w:r>
      <w:r>
        <w:t xml:space="preserve"> </w:t>
      </w:r>
      <w:r>
        <w:t xml:space="preserve">— быстрая модель img2img, принимает несколько входных изображений. Не поддерживает маску напрямую. Подходит для быстрого прототипирования результата без точной локализации.</w:t>
      </w:r>
    </w:p>
    <w:p>
      <w:pPr>
        <w:pStyle w:val="a8"/>
      </w:pPr>
      <w:r>
        <w:rPr>
          <w:b/>
          <w:bCs/>
        </w:rPr>
        <w:t xml:space="preserve">Flux Kontext</w:t>
      </w:r>
      <w:r>
        <w:t xml:space="preserve"> </w:t>
      </w:r>
      <w:r>
        <w:t xml:space="preserve">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промпте указывает модели что и где изменить. Подход интересен простотой реализации, однако качество локализации уступает маскированному инпейнтингу.</w:t>
      </w:r>
    </w:p>
    <w:bookmarkEnd w:id="17"/>
    <w:bookmarkStart w:id="18" w:name="сводная-таблица"/>
    <w:p>
      <w:pPr>
        <w:pStyle w:val="3"/>
      </w:pPr>
      <w:r>
        <w:t xml:space="preserve">1.4.3. 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FLUX.2 Pro</w:t>
            </w:r>
          </w:p>
        </w:tc>
        <w:tc>
          <w:tcPr/>
          <w:p>
            <w:pPr>
              <w:pStyle w:val="Compact"/>
            </w:pPr>
            <w:r>
              <w:t xml:space="preserve">multi-image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FLUX.1 Fill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SDXL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Inpainting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 (вставка)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 Image 1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мягкая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закрытый API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2 Klein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Kontext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</w:tbl>
    <w:p>
      <w:pPr>
        <w:pStyle w:val="a8"/>
      </w:pPr>
      <w:r>
        <w:t xml:space="preserve"> </w:t>
      </w:r>
    </w:p>
    <w:bookmarkEnd w:id="18"/>
    <w:bookmarkEnd w:id="19"/>
    <w:bookmarkStart w:id="24" w:name="агентные-системы-на-базе-llm"/>
    <w:p>
      <w:pPr>
        <w:pStyle w:val="2"/>
      </w:pPr>
      <w:r>
        <w:t xml:space="preserve">1.5. Агентные системы на базе LLM</w:t>
      </w:r>
    </w:p>
    <w:p>
      <w:pPr>
        <w:pStyle w:val="FirstParagraph"/>
      </w:pPr>
      <w:r>
        <w:t xml:space="preserve"> </w:t>
      </w:r>
    </w:p>
    <w:bookmarkStart w:id="20" w:name="мотивация-агентного-подхода"/>
    <w:p>
      <w:pPr>
        <w:pStyle w:val="3"/>
      </w:pPr>
      <w:r>
        <w:t xml:space="preserve">1.5.1. Мотивация агентного подхода</w:t>
      </w:r>
    </w:p>
    <w:p>
      <w:pPr>
        <w:pStyle w:val="FirstParagraph"/>
      </w:pPr>
      <w:r>
        <w:t xml:space="preserve">Пайплайн системы включает несколько разнородных шагов: интерпретацию запроса пользователя, семантический поиск по каталогу, сегментацию изображения и вызов модели инпейнтинга. Жёстко закодированная последовательность этих шагов плохо справляется с вариативностью входных данных: запрос «смени цвет дисков» требует иной логики сегментации, чем «поставь спойлер». Агентный подход позволяет делегировать принятие решений языковой модели: LLM самостоятельно определяет, какие инструменты вызвать и в каком порядке, основываясь на результатах предыдущих шагов.</w:t>
      </w:r>
    </w:p>
    <w:bookmarkEnd w:id="20"/>
    <w:bookmarkStart w:id="21" w:name="подходы-к-построению-агентов"/>
    <w:p>
      <w:pPr>
        <w:pStyle w:val="3"/>
      </w:pPr>
      <w:r>
        <w:t xml:space="preserve">1.5.2. Подходы к построению агентов</w:t>
      </w:r>
    </w:p>
    <w:p>
      <w:pPr>
        <w:pStyle w:val="FirstParagraph"/>
      </w:pPr>
      <w:r>
        <w:rPr>
          <w:b/>
          <w:bCs/>
        </w:rPr>
        <w:t xml:space="preserve">Chain-of-Thought (CoT)</w:t>
      </w:r>
      <w:r>
        <w:t xml:space="preserve"> </w:t>
      </w:r>
      <w:r>
        <w:t xml:space="preserve">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>
      <w:pPr>
        <w:pStyle w:val="a8"/>
      </w:pPr>
      <w:r>
        <w:rPr>
          <w:b/>
          <w:bCs/>
        </w:rPr>
        <w:t xml:space="preserve">Plan-and-Execute</w:t>
      </w:r>
      <w:r>
        <w:t xml:space="preserve"> </w:t>
      </w:r>
      <w:r>
        <w:t xml:space="preserve">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>
      <w:pPr>
        <w:pStyle w:val="a8"/>
      </w:pPr>
      <w:r>
        <w:rPr>
          <w:b/>
          <w:bCs/>
        </w:rPr>
        <w:t xml:space="preserve">Tool Calling</w:t>
      </w:r>
      <w:r>
        <w:t xml:space="preserve"> </w:t>
      </w:r>
      <w:r>
        <w:t xml:space="preserve">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>
      <w:pPr>
        <w:pStyle w:val="a8"/>
      </w:pPr>
      <w:r>
        <w:rPr>
          <w:b/>
          <w:bCs/>
        </w:rPr>
        <w:t xml:space="preserve">ReAct</w:t>
      </w:r>
      <w:r>
        <w:t xml:space="preserve"> </w:t>
      </w:r>
      <w:r>
        <w:t xml:space="preserve">(Reasoning + Acting, Yao et al., ICLR 2023) — модель чередует шаги рассуждения и действия: сначала формулирует мысль (</w:t>
      </w:r>
      <w:r>
        <w:rPr>
          <w:i/>
          <w:iCs/>
        </w:rPr>
        <w:t xml:space="preserve">Thought</w:t>
      </w:r>
      <w:r>
        <w:t xml:space="preserve">), затем вызывает инструмент (</w:t>
      </w:r>
      <w:r>
        <w:rPr>
          <w:i/>
          <w:iCs/>
        </w:rPr>
        <w:t xml:space="preserve">Action</w:t>
      </w:r>
      <w:r>
        <w:t xml:space="preserve">), получает результат (</w:t>
      </w:r>
      <w:r>
        <w:rPr>
          <w:i/>
          <w:iCs/>
        </w:rPr>
        <w:t xml:space="preserve">Observation</w:t>
      </w:r>
      <w:r>
        <w:t xml:space="preserve">)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Внешние инструменты</w:t>
            </w:r>
          </w:p>
        </w:tc>
        <w:tc>
          <w:tcPr/>
          <w:p>
            <w:pPr>
              <w:pStyle w:val="Compact"/>
            </w:pPr>
            <w:r>
              <w:t xml:space="preserve">Адаптация по ходу</w:t>
            </w:r>
          </w:p>
        </w:tc>
        <w:tc>
          <w:tcPr/>
          <w:p>
            <w:pPr>
              <w:pStyle w:val="Compact"/>
            </w:pPr>
            <w:r>
              <w:t xml:space="preserve">Прозрачность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bookmarkEnd w:id="21"/>
    <w:bookmarkStart w:id="22" w:name="пример-работы-react-агента"/>
    <w:p>
      <w:pPr>
        <w:pStyle w:val="3"/>
      </w:pPr>
      <w:r>
        <w:t xml:space="preserve">1.5.3. Пример работы ReAct-агента</w:t>
      </w:r>
    </w:p>
    <w:p>
      <w:pPr>
        <w:pStyle w:val="FirstParagraph"/>
      </w:pPr>
      <w:r>
        <w:t xml:space="preserve">Для запроса пользователя «поставь карбоновый спойлер» агент выполняет следующий цикл: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Пользователь хочет установить карбоновый спойлер. Нужно сначала найти подходящую деталь в каталоге.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search_parts("карбоновый спойлер")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[{id: 42, name: "Спойлер карбоновый универсальный GT", image_url: "..."}]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Деталь найдена. Теперь нужно выделить область на фотографии автомобиля, куда устанавливается спойлер.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segment_object("rear spoiler mount area")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{mask_url: "...", bbox: [120, 45, 380, 95]}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Маска получена. Запускаю генерацию изображения с деталью и маской.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generate_image(part_id=42, mask_url="...")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{result_url: "...", status: "success"}</w:t>
      </w:r>
    </w:p>
    <w:p>
      <w:pPr>
        <w:pStyle w:val="a8"/>
      </w:pPr>
      <w:r>
        <w:rPr>
          <w:i/>
          <w:iCs/>
        </w:rPr>
        <w:t xml:space="preserve">Final Answer:</w:t>
      </w:r>
      <w:r>
        <w:t xml:space="preserve"> </w:t>
      </w:r>
      <w:r>
        <w:t xml:space="preserve">Готово. Результат доступен по ссылке.</w:t>
      </w:r>
    </w:p>
    <w:p>
      <w:pPr>
        <w:pStyle w:val="a8"/>
      </w:pPr>
      <w:r>
        <w:t xml:space="preserve">Такая трассировка полностью прозрачна: по логу агента можно точно понять, почему была выбрана та или иная деталь и какой регион изображения был изменён.</w:t>
      </w:r>
    </w:p>
    <w:bookmarkEnd w:id="22"/>
    <w:bookmarkStart w:id="23" w:name="сравнение-фреймворков"/>
    <w:p>
      <w:pPr>
        <w:pStyle w:val="3"/>
      </w:pPr>
      <w:r>
        <w:t xml:space="preserve">1.5.4. Сравнение фреймворков</w:t>
      </w:r>
    </w:p>
    <w:p>
      <w:pPr>
        <w:pStyle w:val="FirstParagraph"/>
      </w:pPr>
      <w:r>
        <w:rPr>
          <w:b/>
          <w:bCs/>
        </w:rPr>
        <w:t xml:space="preserve">LlamaIndex</w:t>
      </w:r>
      <w:r>
        <w:t xml:space="preserve"> </w:t>
      </w:r>
      <w:r>
        <w:t xml:space="preserve">— специализируется на RAG и работе с документами. Подходит для систем вопрос-ответ над корпусом текстов, но не предназначен для оркестрации инструментов с побочными эффектами.</w:t>
      </w:r>
    </w:p>
    <w:p>
      <w:pPr>
        <w:pStyle w:val="a8"/>
      </w:pPr>
      <w:r>
        <w:rPr>
          <w:b/>
          <w:bCs/>
        </w:rPr>
        <w:t xml:space="preserve">AutoGen</w:t>
      </w:r>
      <w:r>
        <w:t xml:space="preserve"> </w:t>
      </w:r>
      <w:r>
        <w:t xml:space="preserve">(Microsoft) — ориентирован на мультиагентные системы, где несколько специализированных агентов взаимодействуют между собой. Избыточен для задач с линейным пайплайном.</w:t>
      </w:r>
    </w:p>
    <w:p>
      <w:pPr>
        <w:pStyle w:val="a8"/>
      </w:pPr>
      <w:r>
        <w:rPr>
          <w:b/>
          <w:bCs/>
        </w:rPr>
        <w:t xml:space="preserve">LangChain</w:t>
      </w:r>
      <w:r>
        <w:t xml:space="preserve"> </w:t>
      </w:r>
      <w:r>
        <w:t xml:space="preserve">— наиболее универсальный фреймворк с крупнейшим сообществом (80K+ звёзд на GitHub, 47 млн загрузок). Предоставляет декларативный API для описания инструментов и встроенную поддержку ReAct-агента через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. Выбран в данной работе как стандарт индустрии для построения агентов с инструментами.</w:t>
      </w:r>
    </w:p>
    <w:p>
      <w:pPr>
        <w:pStyle w:val="a8"/>
      </w:pPr>
      <w:r>
        <w:t xml:space="preserve"> </w:t>
      </w:r>
    </w:p>
    <w:bookmarkEnd w:id="23"/>
    <w:bookmarkEnd w:id="24"/>
    <w:bookmarkStart w:id="28" w:name="X92d2425eaf2c006772e8d9c471267bb2bee5006"/>
    <w:p>
      <w:pPr>
        <w:pStyle w:val="2"/>
      </w:pPr>
      <w:r>
        <w:t xml:space="preserve">1.6. Семантический поиск и векторные базы данных</w:t>
      </w:r>
    </w:p>
    <w:p>
      <w:pPr>
        <w:pStyle w:val="FirstParagraph"/>
      </w:pPr>
      <w:r>
        <w:t xml:space="preserve"> </w:t>
      </w:r>
    </w:p>
    <w:bookmarkStart w:id="25" w:name="принцип-работы-семантического-поиска"/>
    <w:p>
      <w:pPr>
        <w:pStyle w:val="3"/>
      </w:pPr>
      <w:r>
        <w:t xml:space="preserve">1.6.1. Принцип работы семантического поиска</w:t>
      </w:r>
    </w:p>
    <w:p>
      <w:pPr>
        <w:pStyle w:val="FirstParagraph"/>
      </w:pPr>
      <w:r>
        <w:t xml:space="preserve">Поиск по каталогу товаров на основе ключевых слов имеет фундаментальное ограничение: запрос «карбоновый спойлер GT» не найдёт позицию, названную «задний аэродинамический элемент из углеродного волокна», хотя семантически это одно и то же. Семантический поиск решает эту проблему через векторное представление текстов.</w:t>
      </w:r>
    </w:p>
    <w:p>
      <w:pPr>
        <w:pStyle w:val="a8"/>
      </w:pPr>
      <w:r>
        <w:t xml:space="preserve">Модель-эмбеддер преобразует произвольный текст в числовой вектор фиксированной размерности (например, 384 числа), где близкие по смыслу тексты дают близкие векторы. Схожесть двух векторов измеряется через косинусное расстояние:</w:t>
      </w:r>
    </w:p>
    <w:p>
      <w:pPr>
        <w:pStyle w:val="a8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Значение 1,0 соответствует идентичным по смыслу текстам, 0,0 — не связанным. При поиске запрос пользователя преобразуется в вектор тем же эмбеддером, после чего база данных находит ближайшие по косинусному расстоянию векторы товаров из каталога. В данной работе используется порог схожести 0,4: результаты ниже этого значения считаются нерелевантными.</w:t>
      </w:r>
    </w:p>
    <w:bookmarkEnd w:id="25"/>
    <w:bookmarkStart w:id="26" w:name="модель-эмбеддингов"/>
    <w:p>
      <w:pPr>
        <w:pStyle w:val="3"/>
      </w:pPr>
      <w:r>
        <w:t xml:space="preserve">1.6.2. Модель эмбеддингов</w:t>
      </w:r>
    </w:p>
    <w:p>
      <w:pPr>
        <w:pStyle w:val="FirstParagraph"/>
      </w:pPr>
      <w:r>
        <w:rPr>
          <w:b/>
          <w:bCs/>
        </w:rPr>
        <w:t xml:space="preserve">sentence-transformers/all-MiniLM-L6-v2</w:t>
      </w:r>
      <w:r>
        <w:t xml:space="preserve"> </w:t>
      </w:r>
      <w:r>
        <w:t xml:space="preserve">(Reimers &amp; Gurevych, 2021) — компактная модель (22 млн параметров, 80 МБ) на базе дистиллированного MiniLM. Производит векторы размерностью 384. Обучена на 1 млрд пар предложений методом contrastive learning: пары семантически близких текстов притягиваются в пространстве эмбеддингов, несвязанные — отталкиваются. Несмотря на малый размер, занимает первые строчки в бенчмарках Massive Text Embedding Benchmark (MTEB) среди моделей своего класса. Поддерживает тексты на русском языке за счёт многоязычного предобучения бэкбона.</w:t>
      </w:r>
    </w:p>
    <w:bookmarkEnd w:id="26"/>
    <w:bookmarkStart w:id="27" w:name="сравнение-векторных-хранилищ"/>
    <w:p>
      <w:pPr>
        <w:pStyle w:val="3"/>
      </w:pPr>
      <w:r>
        <w:t xml:space="preserve">1.6.3. Сравнение векторных хранилищ</w:t>
      </w:r>
    </w:p>
    <w:p>
      <w:pPr>
        <w:pStyle w:val="FirstParagraph"/>
      </w:pPr>
      <w:r>
        <w:t xml:space="preserve">Для хранения эмбеддингов и выполнения векторного поиска рассматривались несколько решений.</w:t>
      </w:r>
    </w:p>
    <w:p>
      <w:pPr>
        <w:pStyle w:val="a8"/>
      </w:pPr>
      <w:r>
        <w:rPr>
          <w:b/>
          <w:bCs/>
        </w:rPr>
        <w:t xml:space="preserve">Pinecone</w:t>
      </w:r>
      <w:r>
        <w:t xml:space="preserve"> </w:t>
      </w:r>
      <w:r>
        <w:t xml:space="preserve">— полностью управляемый облачный сервис. Преимущество: не требует администрирования инфраструктуры. Недостаток: данные хранятся на сторонних серверах, что создаёт зависимость от вендора и потенциальные проблемы с конфиденциальностью.</w:t>
      </w:r>
    </w:p>
    <w:p>
      <w:pPr>
        <w:pStyle w:val="a8"/>
      </w:pPr>
      <w:r>
        <w:rPr>
          <w:b/>
          <w:bCs/>
        </w:rPr>
        <w:t xml:space="preserve">Weaviate</w:t>
      </w:r>
      <w:r>
        <w:t xml:space="preserve"> </w:t>
      </w:r>
      <w:r>
        <w:t xml:space="preserve">— открытая векторная база данных с собственным HTTP API и встроенной поддержкой нескольких эмбеддеров. Мощное решение для крупных продакшен-систем, однако требует отдельного развёртывания и операционных издержек.</w:t>
      </w:r>
    </w:p>
    <w:p>
      <w:pPr>
        <w:pStyle w:val="a8"/>
      </w:pPr>
      <w:r>
        <w:rPr>
          <w:b/>
          <w:bCs/>
        </w:rPr>
        <w:t xml:space="preserve">Qdrant</w:t>
      </w:r>
      <w:r>
        <w:t xml:space="preserve"> </w:t>
      </w:r>
      <w:r>
        <w:t xml:space="preserve">— открытая высокопроизводительная векторная база данных на Rust, ориентированная на скорость поиска при большом числе векторов. Как и Weaviate, требует отдельного сервиса.</w:t>
      </w:r>
    </w:p>
    <w:p>
      <w:pPr>
        <w:pStyle w:val="a8"/>
      </w:pPr>
      <w:r>
        <w:rPr>
          <w:b/>
          <w:bCs/>
        </w:rPr>
        <w:t xml:space="preserve">pgvector</w:t>
      </w:r>
      <w:r>
        <w:t xml:space="preserve"> </w:t>
      </w:r>
      <w:r>
        <w:t xml:space="preserve">— расширение для PostgreSQL, добавляющее тип данных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и операторы косинусного, евклидова и inner product поиска. Поддерживает индексы HNSW и IVFFlat для ускорения поиска на больших объёмах. Ключевое преимущество для данного проекта: векторный поиск выполняется внутри той же базы данных, где хранятся остальные данные каталога, что исключает необходимость в дополнительном сервисе и упрощает транзакционную согласованность. Выбран в данной работе как оптимальное решение для встроенного семантического поиска без внешних зависимостей.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Транзакции с SQL</w:t>
            </w:r>
          </w:p>
        </w:tc>
        <w:tc>
          <w:tcPr/>
          <w:p>
            <w:pPr>
              <w:pStyle w:val="Compact"/>
            </w:pPr>
            <w:r>
              <w:t xml:space="preserve">Подходит для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облачный SaaS</w:t>
            </w:r>
          </w:p>
        </w:tc>
        <w:tc>
          <w:tcPr/>
          <w:p>
            <w:pPr>
              <w:pStyle w:val="Compact"/>
            </w:pPr>
            <w:r>
              <w:t xml:space="preserve">не требуется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быстрый старт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отдельный сервис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крупные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отдельный сервис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высокая нагрузка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расширение PostgreSQL</w:t>
            </w:r>
          </w:p>
        </w:tc>
        <w:tc>
          <w:tcPr/>
          <w:p>
            <w:pPr>
              <w:pStyle w:val="Compact"/>
            </w:pPr>
            <w:r>
              <w:t xml:space="preserve">в основной БД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единая БД</w:t>
            </w:r>
          </w:p>
        </w:tc>
      </w:tr>
    </w:tbl>
    <w:p>
      <w:pPr>
        <w:pStyle w:val="a8"/>
      </w:pPr>
      <w:r>
        <w:t xml:space="preserve"> </w:t>
      </w:r>
    </w:p>
    <w:bookmarkEnd w:id="27"/>
    <w:bookmarkEnd w:id="28"/>
    <w:bookmarkStart w:id="29" w:name="выводы-по-главе"/>
    <w:p>
      <w:pPr>
        <w:pStyle w:val="2"/>
      </w:pPr>
      <w:r>
        <w:t xml:space="preserve">1.7.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Проведённый анализ позволяет сформулировать следующие выводы:</w:t>
      </w:r>
    </w:p>
    <w:p>
      <w:pPr>
        <w:pStyle w:val="MyNumberedList"/>
      </w:pPr>
      <w:r>
        <w:t xml:space="preserve">Существующие коммерческие системы виртуальной примерки (Zalando, Amazon, IKEA, Google) ограничены конкретными категориями товаров, требуют специализированных 3D-моделей и не обеспечивают сквозную автоматизацию от текстового запроса до фотореалистичного результата.</w:t>
      </w:r>
    </w:p>
    <w:p>
      <w:pPr>
        <w:pStyle w:val="MyNumberedList"/>
      </w:pPr>
      <w:r>
        <w:t xml:space="preserve">Связка GroundingDINO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системы.</w:t>
      </w:r>
    </w:p>
    <w:p>
      <w:pPr>
        <w:pStyle w:val="MyNumberedList"/>
      </w:pPr>
      <w:r>
        <w:t xml:space="preserve">Трансформерная архитектура FLUX (MMDiT) принципиально превосходит U-Net-based модели (SDXL) по качеству инпейнтинга за счёт глобального внимания между всеми патчами изображения. FLUX.2 Pro с нативной поддержкой нескольких входных изображений обеспечивает наилучшее соответствие референсной детали. Открытые модели (SDXL, FLUX.1 Fill) сохраняют ценность для сценариев с требованием полностью локального развёртывания.</w:t>
      </w:r>
    </w:p>
    <w:p>
      <w:pPr>
        <w:pStyle w:val="MyNumberedList"/>
      </w:pPr>
      <w:r>
        <w:t xml:space="preserve">ReAct-агент на базе LangChain позволяет объединить все компоненты в единый автоматизированный пайплайн с динамической адаптацией стратегии по промежуточным результатам и полной трассируемостью принятых решений.</w:t>
      </w:r>
    </w:p>
    <w:p>
      <w:pPr>
        <w:pStyle w:val="MyNumberedList"/>
      </w:pPr>
      <w:r>
        <w:t xml:space="preserve">pgvector в связке с моделью all-MiniLM-L6-v2 обеспечивает семантический поиск по каталогу без дополнительных сервисов, позволяя находить релевантные товары по неточным текстовым запросам пользователя.</w:t>
      </w:r>
    </w:p>
    <w:p>
      <w:pPr>
        <w:pStyle w:val="a8"/>
      </w:pPr>
      <w:r>
        <w:t xml:space="preserve"> </w:t>
      </w:r>
    </w:p>
    <w:bookmarkEnd w:id="29"/>
    <w:bookmarkEnd w:id="30"/>
    <w:sectPr w:rsidR="00CD7863" w:rsidRPr="005F4612" w:rsidSect="005F4612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firstLine="709" w:left="0"/>
      </w:pPr>
      <w:rPr>
        <w:rFonts w:hint="default"/>
      </w:rPr>
    </w:lvl>
  </w:abstractNum>
  <w:abstractNum w15:restartNumberingAfterBreak="0" w:abstractNumId="1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firstLine="709" w:left="0"/>
      </w:pPr>
      <w:rPr>
        <w:rFonts w:ascii="Symbol" w:hAnsi="Symbol" w:hint="default"/>
      </w:rPr>
    </w:lvl>
  </w:abstractNum>
  <w:abstractNum w15:restartNumberingAfterBreak="0" w:abstractNumId="2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5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hanging="360" w:left="1155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hanging="180" w:left="1875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hanging="360" w:left="2595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hanging="360" w:left="3315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hanging="180" w:left="4035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hanging="360" w:left="4755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hanging="360" w:left="5475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hanging="180" w:left="6195"/>
      </w:pPr>
      <w:rPr>
        <w:rFonts w:cs="Times New Roman"/>
      </w:rPr>
    </w:lvl>
  </w:abstractNum>
  <w:abstractNum w15:restartNumberingAfterBreak="0" w:abstractNumId="7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2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13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4190019">
      <w:start w:val="1"/>
      <w:numFmt w:val="lowerLetter"/>
      <w:lvlText w:val="%2."/>
      <w:lvlJc w:val="left"/>
      <w:pPr>
        <w:ind w:hanging="360" w:left="1155"/>
      </w:pPr>
    </w:lvl>
    <w:lvl w:ilvl="2" w:tentative="1" w:tplc="0419001B">
      <w:start w:val="1"/>
      <w:numFmt w:val="lowerRoman"/>
      <w:lvlText w:val="%3."/>
      <w:lvlJc w:val="right"/>
      <w:pPr>
        <w:ind w:hanging="180" w:left="1875"/>
      </w:pPr>
    </w:lvl>
    <w:lvl w:ilvl="3" w:tentative="1" w:tplc="0419000F">
      <w:start w:val="1"/>
      <w:numFmt w:val="decimal"/>
      <w:lvlText w:val="%4."/>
      <w:lvlJc w:val="left"/>
      <w:pPr>
        <w:ind w:hanging="360" w:left="2595"/>
      </w:pPr>
    </w:lvl>
    <w:lvl w:ilvl="4" w:tentative="1" w:tplc="04190019">
      <w:start w:val="1"/>
      <w:numFmt w:val="lowerLetter"/>
      <w:lvlText w:val="%5."/>
      <w:lvlJc w:val="left"/>
      <w:pPr>
        <w:ind w:hanging="360" w:left="3315"/>
      </w:pPr>
    </w:lvl>
    <w:lvl w:ilvl="5" w:tentative="1" w:tplc="0419001B">
      <w:start w:val="1"/>
      <w:numFmt w:val="lowerRoman"/>
      <w:lvlText w:val="%6."/>
      <w:lvlJc w:val="right"/>
      <w:pPr>
        <w:ind w:hanging="180" w:left="4035"/>
      </w:pPr>
    </w:lvl>
    <w:lvl w:ilvl="6" w:tentative="1" w:tplc="0419000F">
      <w:start w:val="1"/>
      <w:numFmt w:val="decimal"/>
      <w:lvlText w:val="%7."/>
      <w:lvlJc w:val="left"/>
      <w:pPr>
        <w:ind w:hanging="360" w:left="4755"/>
      </w:pPr>
    </w:lvl>
    <w:lvl w:ilvl="7" w:tentative="1" w:tplc="04190019">
      <w:start w:val="1"/>
      <w:numFmt w:val="lowerLetter"/>
      <w:lvlText w:val="%8."/>
      <w:lvlJc w:val="left"/>
      <w:pPr>
        <w:ind w:hanging="360" w:left="5475"/>
      </w:pPr>
    </w:lvl>
    <w:lvl w:ilvl="8" w:tentative="1" w:tplc="0419001B">
      <w:start w:val="1"/>
      <w:numFmt w:val="lowerRoman"/>
      <w:lvlText w:val="%9."/>
      <w:lvlJc w:val="right"/>
      <w:pPr>
        <w:ind w:hanging="180" w:left="6195"/>
      </w:pPr>
    </w:lvl>
  </w:abstractNum>
  <w:abstractNum w15:restartNumberingAfterBreak="0" w:abstractNumId="16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3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5">
    <w:nsid w:val="55932054"/>
    <w:multiLevelType w:val="multilevel"/>
    <w:tmpl w:val="9A4CBAF8"/>
    <w:numStyleLink w:val="30"/>
  </w:abstractNum>
  <w:abstractNum w15:restartNumberingAfterBreak="0" w:abstractNumId="26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613E425B"/>
    <w:multiLevelType w:val="multilevel"/>
    <w:tmpl w:val="9A4CBAF8"/>
    <w:numStyleLink w:val="30"/>
  </w:abstractNum>
  <w:abstractNum w15:restartNumberingAfterBreak="0" w:abstractNumId="28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hanging="360" w:left="1068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29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firstLine="709" w:left="0"/>
      </w:pPr>
      <w:rPr>
        <w:rFonts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35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1586789" w:numId="1">
    <w:abstractNumId w:val="6"/>
  </w:num>
  <w:num w16cid:durableId="1303848704" w:numId="2">
    <w:abstractNumId w:val="15"/>
  </w:num>
  <w:num w16cid:durableId="927690624" w:numId="3">
    <w:abstractNumId w:val="3"/>
  </w:num>
  <w:num w16cid:durableId="2121102890" w:numId="4">
    <w:abstractNumId w:val="34"/>
  </w:num>
  <w:num w16cid:durableId="125204955" w:numId="5">
    <w:abstractNumId w:val="13"/>
  </w:num>
  <w:num w16cid:durableId="1449466230" w:numId="6">
    <w:abstractNumId w:val="33"/>
  </w:num>
  <w:num w16cid:durableId="869417631" w:numId="7">
    <w:abstractNumId w:val="4"/>
  </w:num>
  <w:num w16cid:durableId="515851961" w:numId="8">
    <w:abstractNumId w:val="12"/>
  </w:num>
  <w:num w16cid:durableId="48966994" w:numId="9">
    <w:abstractNumId w:val="11"/>
  </w:num>
  <w:num w16cid:durableId="479075315" w:numId="10">
    <w:abstractNumId w:val="9"/>
  </w:num>
  <w:num w16cid:durableId="150685264" w:numId="11">
    <w:abstractNumId w:val="22"/>
  </w:num>
  <w:num w16cid:durableId="2078556087" w:numId="12">
    <w:abstractNumId w:val="24"/>
  </w:num>
  <w:num w16cid:durableId="1599025468" w:numId="13">
    <w:abstractNumId w:val="7"/>
  </w:num>
  <w:num w16cid:durableId="1288775344" w:numId="14">
    <w:abstractNumId w:val="31"/>
  </w:num>
  <w:num w16cid:durableId="767972235" w:numId="15">
    <w:abstractNumId w:val="23"/>
  </w:num>
  <w:num w16cid:durableId="769200443" w:numId="16">
    <w:abstractNumId w:val="16"/>
  </w:num>
  <w:num w16cid:durableId="732392858" w:numId="17">
    <w:abstractNumId w:val="29"/>
  </w:num>
  <w:num w16cid:durableId="644359216" w:numId="18">
    <w:abstractNumId w:val="14"/>
  </w:num>
  <w:num w16cid:durableId="2123262776" w:numId="19">
    <w:abstractNumId w:val="26"/>
  </w:num>
  <w:num w16cid:durableId="1835801317" w:numId="20">
    <w:abstractNumId w:val="32"/>
  </w:num>
  <w:num w16cid:durableId="1040205815" w:numId="21">
    <w:abstractNumId w:val="17"/>
  </w:num>
  <w:num w16cid:durableId="1095131111" w:numId="22">
    <w:abstractNumId w:val="21"/>
  </w:num>
  <w:num w16cid:durableId="1310327158" w:numId="23">
    <w:abstractNumId w:val="35"/>
  </w:num>
  <w:num w16cid:durableId="284312520" w:numId="24">
    <w:abstractNumId w:val="10"/>
  </w:num>
  <w:num w16cid:durableId="972709627" w:numId="25">
    <w:abstractNumId w:val="8"/>
  </w:num>
  <w:num w16cid:durableId="1601065978" w:numId="26">
    <w:abstractNumId w:val="2"/>
  </w:num>
  <w:num w16cid:durableId="580678458" w:numId="27">
    <w:abstractNumId w:val="18"/>
  </w:num>
  <w:num w16cid:durableId="1855193182" w:numId="28">
    <w:abstractNumId w:val="19"/>
  </w:num>
  <w:num w16cid:durableId="412169118" w:numId="29">
    <w:abstractNumId w:val="28"/>
  </w:num>
  <w:num w16cid:durableId="1251769178" w:numId="30">
    <w:abstractNumId w:val="30"/>
  </w:num>
  <w:num w16cid:durableId="2131511507" w:numId="31">
    <w:abstractNumId w:val="5"/>
  </w:num>
  <w:num w16cid:durableId="1797794376" w:numId="32">
    <w:abstractNumId w:val="20"/>
  </w:num>
  <w:num w16cid:durableId="1693799977" w:numId="33">
    <w:abstractNumId w:val="0"/>
  </w:num>
  <w:num w16cid:durableId="1279680115" w:numId="34">
    <w:abstractNumId w:val="1"/>
  </w:num>
  <w:num w16cid:durableId="1793162807" w:numId="35">
    <w:abstractNumId w:val="27"/>
  </w:num>
  <w:num w16cid:durableId="1107196247" w:numId="36">
    <w:abstractNumId w:val="2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6A00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cs="Times New Roman" w:eastAsia="PMingLiU" w:hAnsi="Times New Roman"/>
      <w:sz w:val="28"/>
    </w:rPr>
  </w:style>
  <w:style w:styleId="1" w:type="paragraph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firstLine="709" w:left="0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firstLine="709" w:left="0"/>
      <w:outlineLvl w:val="1"/>
    </w:pPr>
    <w:rPr>
      <w:szCs w:val="26"/>
    </w:rPr>
  </w:style>
  <w:style w:styleId="3" w:type="paragraph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cstheme="majorBidi" w:eastAsiaTheme="majorEastAsia"/>
      <w:b/>
      <w:color w:themeColor="text1" w:val="000000"/>
      <w:szCs w:val="24"/>
    </w:rPr>
  </w:style>
  <w:style w:styleId="4" w:type="paragraph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5" w:type="paragraph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6" w:type="paragraph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Default" w:type="paragraph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PMingLiU" w:hAnsi="Times New Roman"/>
      <w:color w:val="000000"/>
      <w:sz w:val="24"/>
      <w:szCs w:val="24"/>
    </w:rPr>
  </w:style>
  <w:style w:styleId="a5" w:type="paragraph">
    <w:name w:val="List Paragraph"/>
    <w:basedOn w:val="a1"/>
    <w:uiPriority w:val="34"/>
    <w:qFormat/>
    <w:rsid w:val="00455053"/>
    <w:pPr>
      <w:ind w:left="720"/>
      <w:contextualSpacing/>
    </w:pPr>
  </w:style>
  <w:style w:styleId="a6" w:type="table">
    <w:name w:val="Table Grid"/>
    <w:basedOn w:val="a3"/>
    <w:uiPriority w:val="39"/>
    <w:rsid w:val="004550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ormal" w:type="table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cs="Times New Roman" w:eastAsia="Arial Unicode MS" w:hAnsi="Times New Roman"/>
      <w:sz w:val="20"/>
      <w:szCs w:val="20"/>
      <w:bdr w:val="nil"/>
      <w:lang w:eastAsia="ru-RU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7" w:type="paragraph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cs="Calibri" w:eastAsia="Calibri" w:hAnsi="Calibri"/>
      <w:color w:val="000000"/>
      <w:u w:color="000000"/>
      <w:bdr w:val="nil"/>
      <w:lang w:eastAsia="ru-RU"/>
    </w:rPr>
  </w:style>
  <w:style w:styleId="a8" w:type="paragraph">
    <w:name w:val="Body Text"/>
    <w:basedOn w:val="a1"/>
    <w:link w:val="a9"/>
    <w:rsid w:val="003F65E1"/>
    <w:rPr>
      <w:lang w:eastAsia="zh-CN"/>
    </w:rPr>
  </w:style>
  <w:style w:customStyle="1" w:styleId="a9" w:type="character">
    <w:name w:val="Основной текст Знак"/>
    <w:basedOn w:val="a2"/>
    <w:link w:val="a8"/>
    <w:rsid w:val="003F65E1"/>
    <w:rPr>
      <w:rFonts w:ascii="Times New Roman" w:cs="Times New Roman" w:eastAsia="PMingLiU" w:hAnsi="Times New Roman"/>
      <w:sz w:val="28"/>
      <w:lang w:eastAsia="zh-CN"/>
    </w:rPr>
  </w:style>
  <w:style w:styleId="aa" w:type="paragraph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b" w:type="character">
    <w:name w:val="Текст выноски Знак"/>
    <w:basedOn w:val="a2"/>
    <w:link w:val="aa"/>
    <w:uiPriority w:val="99"/>
    <w:semiHidden/>
    <w:rsid w:val="00E54D43"/>
    <w:rPr>
      <w:rFonts w:ascii="Segoe UI" w:cs="Segoe UI" w:eastAsia="PMingLiU" w:hAnsi="Segoe UI"/>
      <w:sz w:val="18"/>
      <w:szCs w:val="18"/>
    </w:rPr>
  </w:style>
  <w:style w:styleId="ac" w:type="paragraph">
    <w:name w:val="Normal (Web)"/>
    <w:basedOn w:val="a1"/>
    <w:rsid w:val="00AE2D9A"/>
    <w:pPr>
      <w:suppressAutoHyphens/>
      <w:spacing w:after="100" w:before="100" w:line="240" w:lineRule="auto"/>
    </w:pPr>
    <w:rPr>
      <w:rFonts w:eastAsia="Times New Roman"/>
      <w:sz w:val="24"/>
      <w:szCs w:val="20"/>
      <w:lang w:eastAsia="ar-SA"/>
    </w:rPr>
  </w:style>
  <w:style w:styleId="ad" w:type="paragraph">
    <w:name w:val="header"/>
    <w:basedOn w:val="a1"/>
    <w:link w:val="ae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e" w:type="character">
    <w:name w:val="Верхний колонтитул Знак"/>
    <w:basedOn w:val="a2"/>
    <w:link w:val="ad"/>
    <w:uiPriority w:val="99"/>
    <w:rsid w:val="006A6C54"/>
    <w:rPr>
      <w:rFonts w:ascii="Calibri" w:cs="Times New Roman" w:eastAsia="PMingLiU" w:hAnsi="Calibri"/>
    </w:rPr>
  </w:style>
  <w:style w:styleId="af" w:type="paragraph">
    <w:name w:val="footer"/>
    <w:basedOn w:val="a1"/>
    <w:link w:val="af0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f0" w:type="character">
    <w:name w:val="Нижний колонтитул Знак"/>
    <w:basedOn w:val="a2"/>
    <w:link w:val="af"/>
    <w:uiPriority w:val="99"/>
    <w:rsid w:val="006A6C54"/>
    <w:rPr>
      <w:rFonts w:ascii="Calibri" w:cs="Times New Roman" w:eastAsia="PMingLiU" w:hAnsi="Calibri"/>
    </w:rPr>
  </w:style>
  <w:style w:customStyle="1" w:styleId="11" w:type="character">
    <w:name w:val="Заголовок 1 Знак"/>
    <w:basedOn w:val="a2"/>
    <w:link w:val="1"/>
    <w:uiPriority w:val="9"/>
    <w:rsid w:val="000F4098"/>
    <w:rPr>
      <w:rFonts w:ascii="Times New Roman" w:cstheme="majorBidi" w:eastAsiaTheme="majorEastAsia" w:hAnsi="Times New Roman"/>
      <w:b/>
      <w:sz w:val="28"/>
      <w:szCs w:val="32"/>
    </w:rPr>
  </w:style>
  <w:style w:customStyle="1" w:styleId="21" w:type="character">
    <w:name w:val="Заголовок 2 Знак"/>
    <w:basedOn w:val="a2"/>
    <w:link w:val="2"/>
    <w:uiPriority w:val="9"/>
    <w:rsid w:val="000F4098"/>
    <w:rPr>
      <w:rFonts w:ascii="Times New Roman" w:cstheme="majorBidi" w:eastAsiaTheme="majorEastAsia" w:hAnsi="Times New Roman"/>
      <w:b/>
      <w:sz w:val="28"/>
      <w:szCs w:val="26"/>
    </w:rPr>
  </w:style>
  <w:style w:customStyle="1" w:styleId="10" w:type="numbering">
    <w:name w:val="Текущий список1"/>
    <w:uiPriority w:val="99"/>
    <w:rsid w:val="006A6C54"/>
    <w:pPr>
      <w:numPr>
        <w:numId w:val="5"/>
      </w:numPr>
    </w:pPr>
  </w:style>
  <w:style w:customStyle="1" w:styleId="20" w:type="numbering">
    <w:name w:val="Текущий список2"/>
    <w:uiPriority w:val="99"/>
    <w:rsid w:val="006A6C54"/>
    <w:pPr>
      <w:numPr>
        <w:numId w:val="6"/>
      </w:numPr>
    </w:pPr>
  </w:style>
  <w:style w:customStyle="1" w:styleId="30" w:type="numbering">
    <w:name w:val="Текущий список3"/>
    <w:uiPriority w:val="99"/>
    <w:rsid w:val="00EB140F"/>
    <w:pPr>
      <w:numPr>
        <w:numId w:val="8"/>
      </w:numPr>
    </w:pPr>
  </w:style>
  <w:style w:customStyle="1" w:styleId="31" w:type="character">
    <w:name w:val="Заголовок 3 Знак"/>
    <w:basedOn w:val="a2"/>
    <w:link w:val="3"/>
    <w:uiPriority w:val="9"/>
    <w:rsid w:val="006306F7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41" w:type="character">
    <w:name w:val="Заголовок 4 Знак"/>
    <w:basedOn w:val="a2"/>
    <w:link w:val="4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BF" w:val="2E74B5"/>
      <w:sz w:val="28"/>
    </w:rPr>
  </w:style>
  <w:style w:customStyle="1" w:styleId="51" w:type="character">
    <w:name w:val="Заголовок 5 Знак"/>
    <w:basedOn w:val="a2"/>
    <w:link w:val="5"/>
    <w:uiPriority w:val="9"/>
    <w:semiHidden/>
    <w:rsid w:val="00EB140F"/>
    <w:rPr>
      <w:rFonts w:asciiTheme="majorHAnsi" w:cstheme="majorBidi" w:eastAsiaTheme="majorEastAsia" w:hAnsiTheme="majorHAnsi"/>
      <w:color w:themeColor="accent1" w:themeShade="BF" w:val="2E74B5"/>
      <w:sz w:val="28"/>
    </w:rPr>
  </w:style>
  <w:style w:customStyle="1" w:styleId="61" w:type="character">
    <w:name w:val="Заголовок 6 Знак"/>
    <w:basedOn w:val="a2"/>
    <w:link w:val="6"/>
    <w:uiPriority w:val="9"/>
    <w:semiHidden/>
    <w:rsid w:val="00EB140F"/>
    <w:rPr>
      <w:rFonts w:asciiTheme="majorHAnsi" w:cstheme="majorBidi" w:eastAsiaTheme="majorEastAsia" w:hAnsiTheme="majorHAnsi"/>
      <w:color w:themeColor="accent1" w:themeShade="7F" w:val="1F4D78"/>
      <w:sz w:val="28"/>
    </w:rPr>
  </w:style>
  <w:style w:customStyle="1" w:styleId="71" w:type="character">
    <w:name w:val="Заголовок 7 Знак"/>
    <w:basedOn w:val="a2"/>
    <w:link w:val="7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7F" w:val="1F4D78"/>
      <w:sz w:val="28"/>
    </w:rPr>
  </w:style>
  <w:style w:customStyle="1" w:styleId="81" w:type="character">
    <w:name w:val="Заголовок 8 Знак"/>
    <w:basedOn w:val="a2"/>
    <w:link w:val="8"/>
    <w:uiPriority w:val="9"/>
    <w:semiHidden/>
    <w:rsid w:val="00EB140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91" w:type="character">
    <w:name w:val="Заголовок 9 Знак"/>
    <w:basedOn w:val="a2"/>
    <w:link w:val="9"/>
    <w:uiPriority w:val="9"/>
    <w:semiHidden/>
    <w:rsid w:val="00EB140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40" w:type="numbering">
    <w:name w:val="Текущий список4"/>
    <w:uiPriority w:val="99"/>
    <w:rsid w:val="00EB140F"/>
    <w:pPr>
      <w:numPr>
        <w:numId w:val="9"/>
      </w:numPr>
    </w:pPr>
  </w:style>
  <w:style w:customStyle="1" w:styleId="50" w:type="numbering">
    <w:name w:val="Текущий список5"/>
    <w:uiPriority w:val="99"/>
    <w:rsid w:val="00EB140F"/>
    <w:pPr>
      <w:numPr>
        <w:numId w:val="10"/>
      </w:numPr>
    </w:pPr>
  </w:style>
  <w:style w:customStyle="1" w:styleId="60" w:type="numbering">
    <w:name w:val="Текущий список6"/>
    <w:uiPriority w:val="99"/>
    <w:rsid w:val="00EB140F"/>
    <w:pPr>
      <w:numPr>
        <w:numId w:val="11"/>
      </w:numPr>
    </w:pPr>
  </w:style>
  <w:style w:customStyle="1" w:styleId="70" w:type="numbering">
    <w:name w:val="Текущий список7"/>
    <w:uiPriority w:val="99"/>
    <w:rsid w:val="00EB140F"/>
    <w:pPr>
      <w:numPr>
        <w:numId w:val="12"/>
      </w:numPr>
    </w:pPr>
  </w:style>
  <w:style w:styleId="af1" w:type="paragraph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themeColor="accent1" w:themeShade="BF" w:val="2E74B5"/>
      <w:szCs w:val="28"/>
      <w:lang w:eastAsia="ru-RU"/>
    </w:rPr>
  </w:style>
  <w:style w:styleId="12" w:type="paragraph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cstheme="minorHAnsi" w:hAnsiTheme="minorHAnsi"/>
      <w:b/>
      <w:bCs/>
      <w:i/>
      <w:iCs/>
      <w:sz w:val="24"/>
      <w:szCs w:val="24"/>
    </w:rPr>
  </w:style>
  <w:style w:styleId="22" w:type="paragraph">
    <w:name w:val="toc 2"/>
    <w:basedOn w:val="a1"/>
    <w:next w:val="a1"/>
    <w:autoRedefine/>
    <w:uiPriority w:val="39"/>
    <w:unhideWhenUsed/>
    <w:rsid w:val="00CD7863"/>
    <w:pPr>
      <w:tabs>
        <w:tab w:pos="522" w:val="left"/>
        <w:tab w:leader="dot" w:pos="9345" w:val="right"/>
      </w:tabs>
      <w:spacing w:before="120"/>
      <w:ind w:left="280"/>
      <w:jc w:val="left"/>
    </w:pPr>
    <w:rPr>
      <w:rFonts w:asciiTheme="minorHAnsi" w:cstheme="minorHAnsi" w:hAnsiTheme="minorHAnsi"/>
      <w:b/>
      <w:bCs/>
      <w:sz w:val="22"/>
    </w:rPr>
  </w:style>
  <w:style w:styleId="af2" w:type="character">
    <w:name w:val="Hyperlink"/>
    <w:basedOn w:val="a2"/>
    <w:uiPriority w:val="99"/>
    <w:unhideWhenUsed/>
    <w:rsid w:val="00EB140F"/>
    <w:rPr>
      <w:color w:themeColor="hyperlink" w:val="0563C1"/>
      <w:u w:val="single"/>
    </w:rPr>
  </w:style>
  <w:style w:styleId="32" w:type="paragraph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cstheme="minorHAnsi" w:hAnsiTheme="minorHAnsi"/>
      <w:sz w:val="20"/>
      <w:szCs w:val="20"/>
    </w:rPr>
  </w:style>
  <w:style w:styleId="42" w:type="paragraph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cstheme="minorHAnsi" w:hAnsiTheme="minorHAnsi"/>
      <w:sz w:val="20"/>
      <w:szCs w:val="20"/>
    </w:rPr>
  </w:style>
  <w:style w:styleId="52" w:type="paragraph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cstheme="minorHAnsi" w:hAnsiTheme="minorHAnsi"/>
      <w:sz w:val="20"/>
      <w:szCs w:val="20"/>
    </w:rPr>
  </w:style>
  <w:style w:styleId="62" w:type="paragraph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cstheme="minorHAnsi" w:hAnsiTheme="minorHAnsi"/>
      <w:sz w:val="20"/>
      <w:szCs w:val="20"/>
    </w:rPr>
  </w:style>
  <w:style w:styleId="72" w:type="paragraph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cstheme="minorHAnsi" w:hAnsiTheme="minorHAnsi"/>
      <w:sz w:val="20"/>
      <w:szCs w:val="20"/>
    </w:rPr>
  </w:style>
  <w:style w:styleId="82" w:type="paragraph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cstheme="minorHAnsi" w:hAnsiTheme="minorHAnsi"/>
      <w:sz w:val="20"/>
      <w:szCs w:val="20"/>
    </w:rPr>
  </w:style>
  <w:style w:styleId="92" w:type="paragraph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cstheme="minorHAnsi" w:hAnsiTheme="minorHAnsi"/>
      <w:sz w:val="20"/>
      <w:szCs w:val="20"/>
    </w:rPr>
  </w:style>
  <w:style w:styleId="af3" w:type="paragraph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cstheme="majorBidi" w:eastAsiaTheme="majorEastAsia"/>
      <w:b/>
      <w:spacing w:val="-10"/>
      <w:kern w:val="28"/>
      <w:szCs w:val="56"/>
    </w:rPr>
  </w:style>
  <w:style w:customStyle="1" w:styleId="af4" w:type="character">
    <w:name w:val="Заголовок Знак"/>
    <w:basedOn w:val="a2"/>
    <w:link w:val="af3"/>
    <w:uiPriority w:val="10"/>
    <w:rsid w:val="00CD7863"/>
    <w:rPr>
      <w:rFonts w:ascii="Times New Roman" w:cstheme="majorBidi" w:eastAsiaTheme="majorEastAsia" w:hAnsi="Times New Roman"/>
      <w:b/>
      <w:spacing w:val="-10"/>
      <w:kern w:val="28"/>
      <w:sz w:val="28"/>
      <w:szCs w:val="56"/>
    </w:rPr>
  </w:style>
  <w:style w:customStyle="1" w:styleId="80" w:type="numbering">
    <w:name w:val="Текущий список8"/>
    <w:uiPriority w:val="99"/>
    <w:rsid w:val="000B1F4B"/>
    <w:pPr>
      <w:numPr>
        <w:numId w:val="21"/>
      </w:numPr>
    </w:pPr>
  </w:style>
  <w:style w:customStyle="1" w:styleId="FirstParagraph" w:type="paragraph">
    <w:name w:val="First Paragraph"/>
    <w:basedOn w:val="a8"/>
    <w:next w:val="a8"/>
    <w:qFormat/>
    <w:rsid w:val="003F65E1"/>
  </w:style>
  <w:style w:customStyle="1" w:styleId="Compact" w:type="paragraph">
    <w:name w:val="Compact"/>
    <w:basedOn w:val="a8"/>
    <w:qFormat/>
    <w:rsid w:val="005F4612"/>
    <w:pPr>
      <w:spacing w:after="36" w:before="36"/>
    </w:pPr>
    <w:rPr>
      <w:rFonts w:asciiTheme="minorHAnsi" w:cstheme="minorBidi" w:eastAsiaTheme="minorEastAsia" w:hAnsiTheme="minorHAnsi"/>
      <w:lang w:val="en-US"/>
    </w:rPr>
  </w:style>
  <w:style w:styleId="af5" w:type="paragraph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eastAsia="zh-CN" w:val="en-US"/>
    </w:rPr>
  </w:style>
  <w:style w:customStyle="1" w:styleId="af6" w:type="character">
    <w:name w:val="Подзаголовок Знак"/>
    <w:basedOn w:val="a2"/>
    <w:link w:val="af5"/>
    <w:uiPriority w:val="11"/>
    <w:rsid w:val="005F4612"/>
    <w:rPr>
      <w:rFonts w:asciiTheme="majorHAnsi" w:cstheme="majorBidi" w:eastAsiaTheme="majorEastAsia" w:hAnsiTheme="majorHAnsi"/>
      <w:spacing w:val="15"/>
      <w:sz w:val="28"/>
      <w:szCs w:val="28"/>
      <w:lang w:eastAsia="zh-CN" w:val="en-US"/>
    </w:rPr>
  </w:style>
  <w:style w:customStyle="1" w:styleId="Author" w:type="paragraph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styleId="af7" w:type="paragraph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customStyle="1" w:styleId="af8" w:type="character">
    <w:name w:val="Дата Знак"/>
    <w:basedOn w:val="a2"/>
    <w:link w:val="af7"/>
    <w:rsid w:val="005F4612"/>
    <w:rPr>
      <w:rFonts w:asciiTheme="majorHAnsi" w:cstheme="majorBidi" w:eastAsiaTheme="majorEastAsia" w:hAnsiTheme="majorHAnsi"/>
      <w:sz w:val="24"/>
      <w:szCs w:val="24"/>
      <w:lang w:eastAsia="zh-CN" w:val="en-US"/>
    </w:rPr>
  </w:style>
  <w:style w:customStyle="1" w:styleId="Abstract" w:type="paragraph">
    <w:name w:val="Abstract"/>
    <w:basedOn w:val="a1"/>
    <w:next w:val="a8"/>
    <w:qFormat/>
    <w:rsid w:val="005F4612"/>
    <w:pPr>
      <w:keepNext/>
      <w:keepLines/>
      <w:spacing w:after="300" w:before="100" w:line="240" w:lineRule="auto"/>
      <w:jc w:val="left"/>
    </w:pPr>
    <w:rPr>
      <w:rFonts w:asciiTheme="minorHAnsi" w:cstheme="minorBidi" w:eastAsiaTheme="minorEastAsia" w:hAnsiTheme="minorHAnsi"/>
      <w:sz w:val="20"/>
      <w:szCs w:val="20"/>
      <w:lang w:eastAsia="zh-CN" w:val="en-US"/>
    </w:rPr>
  </w:style>
  <w:style w:styleId="af9" w:type="paragraph">
    <w:name w:val="Block Text"/>
    <w:basedOn w:val="a8"/>
    <w:next w:val="a8"/>
    <w:uiPriority w:val="9"/>
    <w:unhideWhenUsed/>
    <w:qFormat/>
    <w:rsid w:val="005F4612"/>
    <w:pPr>
      <w:spacing w:after="100" w:before="100"/>
      <w:ind w:left="480" w:right="480"/>
    </w:pPr>
    <w:rPr>
      <w:rFonts w:asciiTheme="minorHAnsi" w:cstheme="minorBidi" w:eastAsiaTheme="minorEastAsia" w:hAnsiTheme="minorHAnsi"/>
      <w:lang w:val="en-US"/>
    </w:rPr>
  </w:style>
  <w:style w:styleId="afa" w:type="paragraph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afb" w:type="character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eastAsia="zh-CN" w:val="en-US"/>
    </w:rPr>
  </w:style>
  <w:style w:customStyle="1" w:styleId="FootnoteBlockText" w:type="paragraph">
    <w:name w:val="Footnote Block Text"/>
    <w:basedOn w:val="afa"/>
    <w:next w:val="afa"/>
    <w:uiPriority w:val="9"/>
    <w:unhideWhenUsed/>
    <w:qFormat/>
    <w:rsid w:val="005F461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eastAsia="zh-CN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cstheme="minorBidi" w:eastAsiaTheme="minorEastAsia" w:hAnsiTheme="minorHAnsi"/>
      <w:b/>
      <w:sz w:val="24"/>
      <w:szCs w:val="24"/>
      <w:lang w:eastAsia="zh-CN" w:val="en-US"/>
    </w:rPr>
  </w:style>
  <w:style w:customStyle="1" w:styleId="Definition" w:type="paragraph">
    <w:name w:val="Definition"/>
    <w:basedOn w:val="a1"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TableCaption" w:type="paragraph">
    <w:name w:val="Table Caption"/>
    <w:basedOn w:val="afc"/>
    <w:rsid w:val="005F4612"/>
    <w:pPr>
      <w:keepNext/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ImageCaption" w:type="paragraph">
    <w:name w:val="Image Caption"/>
    <w:basedOn w:val="afc"/>
    <w:rsid w:val="005F4612"/>
    <w:pPr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VerbatimChar" w:type="character">
    <w:name w:val="Verbatim Char"/>
    <w:basedOn w:val="a2"/>
    <w:rsid w:val="005F4612"/>
    <w:rPr>
      <w:rFonts w:ascii="Consolas" w:hAnsi="Consolas"/>
      <w:sz w:val="22"/>
    </w:rPr>
  </w:style>
  <w:style w:styleId="afd" w:type="character">
    <w:name w:val="footnote reference"/>
    <w:basedOn w:val="a2"/>
    <w:rsid w:val="005F4612"/>
    <w:rPr>
      <w:vertAlign w:val="superscript"/>
    </w:rPr>
  </w:style>
  <w:style w:styleId="afc" w:type="paragraph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afe" w:type="paragraph">
    <w:name w:val="List"/>
    <w:basedOn w:val="a8"/>
    <w:uiPriority w:val="99"/>
    <w:unhideWhenUsed/>
    <w:rsid w:val="00C921C2"/>
  </w:style>
  <w:style w:customStyle="1" w:styleId="MyBulletList" w:type="paragraph">
    <w:name w:val="MyBulletList"/>
    <w:basedOn w:val="afe"/>
    <w:qFormat/>
    <w:rsid w:val="00321754"/>
    <w:pPr>
      <w:numPr>
        <w:numId w:val="31"/>
      </w:numPr>
    </w:pPr>
  </w:style>
  <w:style w:customStyle="1" w:styleId="MyNumberedList" w:type="paragraph">
    <w:name w:val="MyNumberedList"/>
    <w:basedOn w:val="a8"/>
    <w:qFormat/>
    <w:rsid w:val="00321754"/>
    <w:pPr>
      <w:numPr>
        <w:numId w:val="30"/>
      </w:numPr>
    </w:pPr>
  </w:style>
  <w:style w:customStyle="1" w:styleId="90" w:type="numbering">
    <w:name w:val="Текущий список9"/>
    <w:uiPriority w:val="99"/>
    <w:rsid w:val="00321754"/>
    <w:pPr>
      <w:numPr>
        <w:numId w:val="32"/>
      </w:numPr>
    </w:pPr>
  </w:style>
  <w:style w:styleId="a" w:type="paragraph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styleId="a0" w:type="paragraph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customStyle="1" w:styleId="Heading3" w:type="paragraph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2026-05-07T22:45:18Z</dcterms:created>
  <dcterms:modified xsi:type="dcterms:W3CDTF">2026-05-07T22:45:18Z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