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реализация-системы"/>
    <w:p>
      <w:pPr>
        <w:pStyle w:val="1"/>
      </w:pPr>
      <w:r>
        <w:t xml:space="preserve">3. Реализация системы</w:t>
      </w:r>
    </w:p>
    <w:p>
      <w:pPr>
        <w:pStyle w:val="FirstParagraph"/>
      </w:pPr>
      <w:r>
        <w:t xml:space="preserve"> </w:t>
      </w:r>
    </w:p>
    <w:bookmarkStart w:id="9" w:name="реализация-сервиса-обработки-деталей"/>
    <w:p>
      <w:pPr>
        <w:pStyle w:val="2"/>
      </w:pPr>
      <w:r>
        <w:t xml:space="preserve">3.1. Реализация сервиса обработки деталей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отвечает за управление каталогом тюнинговых деталей и реализован на FastAPI с асинхронной очередью SAQ. Центральная инженерная задача сервиса — интеграция тяжёлых ML-моделей (rembg, sentence-transformers) в полностью асинхронный стек без блокировки основного event loop.</w:t>
      </w:r>
    </w:p>
    <w:p>
      <w:pPr>
        <w:pStyle w:val="a8"/>
      </w:pPr>
      <w:r>
        <w:rPr>
          <w:b/>
          <w:bCs/>
        </w:rPr>
        <w:t xml:space="preserve">Проблема запуска ML-моделей в асинхронном контексте</w:t>
      </w:r>
    </w:p>
    <w:p>
      <w:pPr>
        <w:pStyle w:val="a8"/>
      </w:pPr>
      <w:r>
        <w:t xml:space="preserve">Большинство ML-библиотек Python — rembg, sentence-transformers, numpy — реализованы в синхронном стиле и не поддерживают asyncio. Прямой вызов таких функций из async-обработчика заблокировал бы event loop FastAPI на всё время вычисления, делая сервер недоступным для других запросов в течение нескольких секунд. Стандартное решение — перемещение тяжёлых вычислений в отдельный поток через</w:t>
      </w:r>
      <w:r>
        <w:t xml:space="preserve"> </w:t>
      </w:r>
      <w:r>
        <w:rPr>
          <w:rStyle w:val="VerbatimChar"/>
        </w:rPr>
        <w:t xml:space="preserve">loop.run_in_executor</w:t>
      </w:r>
      <w:r>
        <w:t xml:space="preserve">, что позволяет event loop продолжать обрабатывать остальные запросы, пока модель считает в фоновом потоке.</w:t>
      </w:r>
    </w:p>
    <w:p>
      <w:pPr>
        <w:pStyle w:val="a8"/>
      </w:pPr>
      <w:r>
        <w:t xml:space="preserve">Вторая проблема — эффективное управление жизненным циклом модели. Загрузка ML-модели с диска занимает несколько секунд и требует значительных объёмов памяти. Повторная инициализация при каждом запросе недопустима. Решение — паттерн ленивого синглтона на основе декоратора</w:t>
      </w:r>
      <w:r>
        <w:t xml:space="preserve"> </w:t>
      </w:r>
      <w:r>
        <w:rPr>
          <w:rStyle w:val="VerbatimChar"/>
        </w:rPr>
        <w:t xml:space="preserve">@lru_cache(maxsize=1)</w:t>
      </w:r>
      <w:r>
        <w:t xml:space="preserve">: функция-фабрика вызывается один раз при первом обращении и кэшируется Python на всё время жизни процесса.</w:t>
      </w:r>
    </w:p>
    <w:p>
      <w:pPr>
        <w:pStyle w:val="a8"/>
      </w:pPr>
      <w:r>
        <w:rPr>
          <w:b/>
          <w:bCs/>
        </w:rPr>
        <w:t xml:space="preserve">Удаление фона</w:t>
      </w:r>
    </w:p>
    <w:p>
      <w:pPr>
        <w:pStyle w:val="a8"/>
      </w:pPr>
      <w:r>
        <w:t xml:space="preserve">Обработка фотографий деталей реализована в модуле</w:t>
      </w:r>
      <w:r>
        <w:t xml:space="preserve"> </w:t>
      </w:r>
      <w:r>
        <w:rPr>
          <w:rStyle w:val="VerbatimChar"/>
        </w:rPr>
        <w:t xml:space="preserve">accessories_processing/app/models/rembg_model.py</w:t>
      </w:r>
      <w:r>
        <w:t xml:space="preserve">. Библиотека rembg использует нейросетевую модель U2Net, предобученную на задаче матирования (image matting) — выделения объекта переднего плана с точностью до полупрозрачных краёв. Объект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 создаваемый через</w:t>
      </w:r>
      <w:r>
        <w:t xml:space="preserve"> </w:t>
      </w:r>
      <w:r>
        <w:rPr>
          <w:rStyle w:val="VerbatimChar"/>
        </w:rPr>
        <w:t xml:space="preserve">rembg.new_session("u2net")</w:t>
      </w:r>
      <w:r>
        <w:t xml:space="preserve">, инкапсулирует загруженные веса модели и контекст ONNX Runtime. Создание сессии — ресурсоёмкая операция; повторное использование одного объекта через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исключает накладные расходы при каждом вызове:</w:t>
      </w:r>
    </w:p>
    <w:p>
      <w:pPr>
        <w:pStyle w:val="SourceCode"/>
      </w:pP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_get_session():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rembg.new_session(</w:t>
      </w:r>
      <w:r>
        <w:rPr>
          <w:rStyle w:val="StringTok"/>
        </w:rPr>
        <w:t xml:space="preserve">"u2net"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remove_background(image_bytes: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_get_session()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rembg.remove(image_bytes, 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t xml:space="preserve">Аргумент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 </w:t>
      </w:r>
      <w:r>
        <w:t xml:space="preserve">означает использование стандартного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, который FastAPI создаёт и управляет автоматически. Лямбда-функция замыкает уже инициализированную сессию, передавая её в поток без повторной инициализации.</w:t>
      </w:r>
    </w:p>
    <w:p>
      <w:pPr>
        <w:pStyle w:val="a8"/>
      </w:pPr>
      <w:r>
        <w:rPr>
          <w:b/>
          <w:bCs/>
        </w:rPr>
        <w:t xml:space="preserve">Вычисление векторных эмбеддингов</w:t>
      </w:r>
    </w:p>
    <w:p>
      <w:pPr>
        <w:pStyle w:val="a8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accessories_processing/app/services/embeddings.py</w:t>
      </w:r>
      <w:r>
        <w:t xml:space="preserve"> </w:t>
      </w:r>
      <w:r>
        <w:t xml:space="preserve">реализует кодирование текстовых описаний деталей в векторные представления. Применяется тот же паттерн</w:t>
      </w:r>
      <w:r>
        <w:t xml:space="preserve"> </w:t>
      </w:r>
      <w:r>
        <w:rPr>
          <w:rStyle w:val="VerbatimChar"/>
        </w:rPr>
        <w:t xml:space="preserve">lru_cache + run_in_executor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_get_model()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SentenceTransformer: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_get_model()</w:t>
      </w:r>
      <w:r>
        <w:br/>
      </w:r>
      <w:r>
        <w:rPr>
          <w:rStyle w:val="NormalTok"/>
        </w:rPr>
        <w:t xml:space="preserve">    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model.encode(text))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vector.tolist()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model.encode()</w:t>
      </w:r>
      <w:r>
        <w:t xml:space="preserve"> </w:t>
      </w:r>
      <w:r>
        <w:t xml:space="preserve">принимает строку и возвращает numpy-массив из 384 чисел с плавающей точкой. Метод</w:t>
      </w:r>
      <w:r>
        <w:t xml:space="preserve"> </w:t>
      </w:r>
      <w:r>
        <w:rPr>
          <w:rStyle w:val="VerbatimChar"/>
        </w:rPr>
        <w:t xml:space="preserve">.tolist()</w:t>
      </w:r>
      <w:r>
        <w:t xml:space="preserve"> </w:t>
      </w:r>
      <w:r>
        <w:t xml:space="preserve">преобразует его в обычный список Python для последующей сериализации в JSON и сохранения в PostgreSQL через pgvector.</w:t>
      </w:r>
    </w:p>
    <w:p>
      <w:pPr>
        <w:pStyle w:val="a8"/>
      </w:pPr>
      <w:r>
        <w:rPr>
          <w:b/>
          <w:bCs/>
        </w:rPr>
        <w:t xml:space="preserve">Жизненный цикл детали: задача prepare_part</w:t>
      </w:r>
    </w:p>
    <w:p>
      <w:pPr>
        <w:pStyle w:val="a8"/>
      </w:pPr>
      <w:r>
        <w:t xml:space="preserve">При загрузке новой детали через</w:t>
      </w:r>
      <w:r>
        <w:t xml:space="preserve"> </w:t>
      </w:r>
      <w:r>
        <w:rPr>
          <w:rStyle w:val="VerbatimChar"/>
        </w:rPr>
        <w:t xml:space="preserve">POST /api/parts/upload</w:t>
      </w:r>
      <w:r>
        <w:t xml:space="preserve"> </w:t>
      </w:r>
      <w:r>
        <w:t xml:space="preserve">API сохраняет исходное изображение на диск, создаёт запись в БД со статусом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и немедленно возвращает клиенту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. Фактическая обработка выполняется асинхронно воркером SAQ в задаче</w:t>
      </w:r>
      <w:r>
        <w:t xml:space="preserve"> </w:t>
      </w:r>
      <w:r>
        <w:rPr>
          <w:rStyle w:val="VerbatimChar"/>
        </w:rPr>
        <w:t xml:space="preserve">prepare_part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prepare_part(ctx: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part_id: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Удалить фон</w:t>
      </w:r>
      <w:r>
        <w:br/>
      </w:r>
      <w:r>
        <w:rPr>
          <w:rStyle w:val="NormalTok"/>
        </w:rPr>
        <w:t xml:space="preserve">    image_bytes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image_path.read_bytes()</w:t>
      </w:r>
      <w:r>
        <w:br/>
      </w:r>
      <w:r>
        <w:rPr>
          <w:rStyle w:val="NormalTok"/>
        </w:rPr>
        <w:t xml:space="preserve">    processed_bytes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remove_background(image_bytes)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Сохранить обработанное изображение</w:t>
      </w:r>
      <w:r>
        <w:br/>
      </w:r>
      <w:r>
        <w:rPr>
          <w:rStyle w:val="NormalTok"/>
        </w:rPr>
        <w:t xml:space="preserve">    dest.write_bytes(processed_bytes)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Вычислить эмбеддинг и перевести в статус ready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    part.embedding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embed_text(text)</w:t>
      </w:r>
      <w:r>
        <w:br/>
      </w:r>
      <w:r>
        <w:rPr>
          <w:rStyle w:val="NormalTok"/>
        </w:rPr>
        <w:t xml:space="preserve">    part.processed_image_url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processed_url</w:t>
      </w:r>
      <w:r>
        <w:br/>
      </w:r>
      <w:r>
        <w:rPr>
          <w:rStyle w:val="NormalTok"/>
        </w:rPr>
        <w:t xml:space="preserve">    part.status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</w:p>
    <w:p>
      <w:pPr>
        <w:pStyle w:val="FirstParagraph"/>
      </w:pPr>
      <w:r>
        <w:t xml:space="preserve">Три операции — удаление фона, сохранение файла, вычисление эмбеддинга — выполняются строго последовательно: каждая следующая зависит от результата предыдущей. При ошибке на любом шаге запись переводится в статус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что позволяет администратору идентифицировать проблемные загрузки.</w:t>
      </w:r>
    </w:p>
    <w:p>
      <w:pPr>
        <w:pStyle w:val="a8"/>
      </w:pPr>
      <w:r>
        <w:rPr>
          <w:b/>
          <w:bCs/>
        </w:rPr>
        <w:t xml:space="preserve">Семантический поиск с косинусным сходством</w:t>
      </w:r>
    </w:p>
    <w:p>
      <w:pPr>
        <w:pStyle w:val="a8"/>
      </w:pPr>
      <w:r>
        <w:t xml:space="preserve">Реализация поиска в</w:t>
      </w:r>
      <w:r>
        <w:t xml:space="preserve"> </w:t>
      </w:r>
      <w:r>
        <w:rPr>
          <w:rStyle w:val="VerbatimChar"/>
        </w:rPr>
        <w:t xml:space="preserve">accessories_processing/app/api/parts.py</w:t>
      </w:r>
      <w:r>
        <w:t xml:space="preserve"> </w:t>
      </w:r>
      <w:r>
        <w:t xml:space="preserve">вычисляет сходство в Python через numpy, что даёт полную переносимость между базами данных. Запрос кодируется в вектор той же моделью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, затем для каждой детали со статусом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вычисляется косинусное сходство:</w:t>
      </w:r>
    </w:p>
    <w:p>
      <w:pPr>
        <w:pStyle w:val="SourceCode"/>
      </w:pPr>
      <w:r>
        <w:rPr>
          <w:rStyle w:val="NormalTok"/>
        </w:rPr>
        <w:t xml:space="preserve">query_vec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embed_text(body.query)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np.array(query_vec)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cosine_sim(part: Part)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part.embedding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np.array(part.embedding)</w:t>
      </w:r>
      <w:r>
        <w:br/>
      </w:r>
      <w:r>
        <w:rPr>
          <w:rStyle w:val="NormalTok"/>
        </w:rPr>
        <w:t xml:space="preserve">    denom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(np.dot(q, 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denom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min_score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(((cosine_sim(p), 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scored[:body.limit]: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min_score: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Порог 0.4 выбран экспериментально: при более низком пороге в результаты попадают семантически далёкие детали (например, по запросу «карбоновый спойлер» возвращается «резиновый коврик»), при более высоком — отсекаются синонимичные формулировки. Детали возвращаются отсортированными по убыванию релевантности; агент получает поле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и может учитывать его при формулировке промпта генерации.</w:t>
      </w:r>
    </w:p>
    <w:p>
      <w:pPr>
        <w:pStyle w:val="a8"/>
      </w:pPr>
      <w:r>
        <w:t xml:space="preserve"> </w:t>
      </w:r>
    </w:p>
    <w:bookmarkEnd w:id="9"/>
    <w:bookmarkStart w:id="10" w:name="реализация-сегментационного-пайплайна"/>
    <w:p>
      <w:pPr>
        <w:pStyle w:val="2"/>
      </w:pPr>
      <w:r>
        <w:t xml:space="preserve">3.2. Реализация сегментационного пайплайна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Сегментационный пайплайн реализован в</w:t>
      </w:r>
      <w:r>
        <w:t xml:space="preserve"> </w:t>
      </w:r>
      <w:r>
        <w:rPr>
          <w:rStyle w:val="VerbatimChar"/>
        </w:rPr>
        <w:t xml:space="preserve">core_service/app/models/segmentation.py</w:t>
      </w:r>
      <w:r>
        <w:t xml:space="preserve">. Архитектурно он решает три задачи: детекцию объекта по тексту, построение точной пиксельной маски и корректное управление тяжёлыми моделями в асинхронном сервисе.</w:t>
      </w:r>
    </w:p>
    <w:p>
      <w:pPr>
        <w:pStyle w:val="a8"/>
      </w:pPr>
      <w:r>
        <w:rPr>
          <w:b/>
          <w:bCs/>
        </w:rPr>
        <w:t xml:space="preserve">Ленивые синглтоны и выбор устройства</w:t>
      </w:r>
    </w:p>
    <w:p>
      <w:pPr>
        <w:pStyle w:val="a8"/>
      </w:pPr>
      <w:r>
        <w:t xml:space="preserve">SAM 2 и GroundingDINO хранятся в модульных переменных и инициализируются при первом обращении. Такой подход — в отличие от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— позволяет использовать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для явного управления состоянием и упрощает предзагрузку при старте воркера:</w:t>
      </w:r>
    </w:p>
    <w:p>
      <w:pPr>
        <w:pStyle w:val="SourceCode"/>
      </w:pPr>
      <w:r>
        <w:rPr>
          <w:rStyle w:val="NormalTok"/>
        </w:rPr>
        <w:t xml:space="preserve">_sam2_predictor: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_gdino_model: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_load_sam2()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_sam2_predictor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_sam2_predictor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_sam2_predictor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sam2.build_sam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build_sam2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sam2.sam2_image_predictor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SAM2ImagePredictor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_get_device()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build_sam2(settings.SAM2_CONFIG, settings.SAM2_CHECKPOINT,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_sam2_predictor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SAM2ImagePredictor(model)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_sam2_predictor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_get_device()</w:t>
      </w:r>
      <w:r>
        <w:t xml:space="preserve"> </w:t>
      </w:r>
      <w:r>
        <w:t xml:space="preserve">выбирает CUDA при наличии GPU, иначе возвращает CPU — Apple MPS явно исключён, поскольку часть операций SAM 2 и GroundingDINO не поддерживается MPS-бэкендом PyTorch.</w:t>
      </w:r>
    </w:p>
    <w:p>
      <w:pPr>
        <w:pStyle w:val="a8"/>
      </w:pPr>
      <w:r>
        <w:rPr>
          <w:b/>
          <w:bCs/>
        </w:rPr>
        <w:t xml:space="preserve">Предзагрузка при старте воркера</w:t>
      </w:r>
    </w:p>
    <w:p>
      <w:pPr>
        <w:pStyle w:val="a8"/>
      </w:pPr>
      <w:r>
        <w:t xml:space="preserve">SAM 2 и GroundingDINO должны загружаться в строго определённом порядке: совместная инициализация</w:t>
      </w:r>
      <w:r>
        <w:t xml:space="preserve"> </w:t>
      </w:r>
      <w:r>
        <w:rPr>
          <w:rStyle w:val="VerbatimChar"/>
        </w:rPr>
        <w:t xml:space="preserve">torch.jit</w:t>
      </w:r>
      <w:r>
        <w:t xml:space="preserve"> </w:t>
      </w:r>
      <w:r>
        <w:t xml:space="preserve">при обратном порядке приводит к конфликту контекстов. Воркер предзагружает обе модели при запуске, до начала обработки задач: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_preload_models()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_load_sam2)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_load_gdino)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"Models pre-loaded successfully."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tringTok"/>
        </w:rPr>
        <w:t xml:space="preserve">"Model pre-load skipped: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exc)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_preload_models()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get_queue()</w:t>
      </w:r>
      <w:r>
        <w:br/>
      </w:r>
      <w:r>
        <w:rPr>
          <w:rStyle w:val="NormalTok"/>
        </w:rPr>
        <w:t xml:space="preserve">   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saq.Worker(queue, 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[run_agent_session], 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worker.start()</w:t>
      </w:r>
    </w:p>
    <w:p>
      <w:pPr>
        <w:pStyle w:val="FirstParagraph"/>
      </w:pPr>
      <w:r>
        <w:t xml:space="preserve">Исключение при предзагрузке обрабатывается мягко (</w:t>
      </w:r>
      <w:r>
        <w:rPr>
          <w:rStyle w:val="VerbatimChar"/>
        </w:rPr>
        <w:t xml:space="preserve">warning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): это позволяет запускать сервис в среде разработки без установленных зависимостей SAM 2/GroundingDINO — в таком случае активируется заглушка.</w:t>
      </w:r>
    </w:p>
    <w:p>
      <w:pPr>
        <w:pStyle w:val="a8"/>
      </w:pPr>
      <w:r>
        <w:rPr>
          <w:b/>
          <w:bCs/>
        </w:rPr>
        <w:t xml:space="preserve">Препроцессинг в GroundingDINO</w:t>
      </w:r>
    </w:p>
    <w:p>
      <w:pPr>
        <w:pStyle w:val="a8"/>
      </w:pPr>
      <w:r>
        <w:t xml:space="preserve">GroundingDINO ожидает изображение в виде нормализованного тензора 800×800. Функция</w:t>
      </w:r>
      <w:r>
        <w:t xml:space="preserve"> </w:t>
      </w:r>
      <w:r>
        <w:rPr>
          <w:rStyle w:val="VerbatimChar"/>
        </w:rPr>
        <w:t xml:space="preserve">_get_gdino_boxes</w:t>
      </w:r>
      <w:r>
        <w:t xml:space="preserve"> </w:t>
      </w:r>
      <w:r>
        <w:t xml:space="preserve">выполняет предобработку через torchvision transforms и конвертирует результирующие координаты из нормализованного формата (cx, cy, w, h) в абсолютные пиксельные координаты (x1, y1, x2, y2), необходимые SAM 2:</w:t>
      </w:r>
    </w:p>
    <w:p>
      <w:pPr>
        <w:pStyle w:val="SourceCode"/>
      </w:pPr>
      <w:r>
        <w:rPr>
          <w:rStyle w:val="NormalTok"/>
        </w:rPr>
        <w:t xml:space="preserve">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T.Compose([</w:t>
      </w:r>
      <w:r>
        <w:br/>
      </w:r>
      <w:r>
        <w:rPr>
          <w:rStyle w:val="NormalTok"/>
        </w:rPr>
        <w:t xml:space="preserve">    T.Resize((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T.ToTensor(),</w:t>
      </w:r>
      <w:r>
        <w:br/>
      </w:r>
      <w:r>
        <w:rPr>
          <w:rStyle w:val="NormalTok"/>
        </w:rPr>
        <w:t xml:space="preserve">    T.Normalize([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boxes_cx, _logits, _phrases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img_tensor, caption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box_threshold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text_threshold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boxes_cx.tolist():</w:t>
      </w:r>
      <w:r>
        <w:br/>
      </w:r>
      <w:r>
        <w:rPr>
          <w:rStyle w:val="NormalTok"/>
        </w:rPr>
        <w:t xml:space="preserve">    cx, cy, bw, bh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br/>
      </w:r>
      <w:r>
        <w:rPr>
          <w:rStyle w:val="NormalTok"/>
        </w:rPr>
        <w:t xml:space="preserve">    result.append([</w:t>
      </w:r>
      <w:r>
        <w:br/>
      </w:r>
      <w:r>
        <w:rPr>
          <w:rStyle w:val="NormalTok"/>
        </w:rPr>
        <w:t xml:space="preserve">        (cx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w, (cy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h,</w:t>
      </w:r>
      <w:r>
        <w:br/>
      </w:r>
      <w:r>
        <w:rPr>
          <w:rStyle w:val="NormalTok"/>
        </w:rPr>
        <w:t xml:space="preserve">        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w, (cy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h,</w:t>
      </w:r>
      <w:r>
        <w:br/>
      </w:r>
      <w:r>
        <w:rPr>
          <w:rStyle w:val="NormalTok"/>
        </w:rPr>
        <w:t xml:space="preserve">    ])</w:t>
      </w:r>
    </w:p>
    <w:p>
      <w:pPr>
        <w:pStyle w:val="FirstParagraph"/>
      </w:pPr>
      <w:r>
        <w:t xml:space="preserve">Порог</w:t>
      </w:r>
      <w:r>
        <w:t xml:space="preserve"> </w:t>
      </w:r>
      <w:r>
        <w:rPr>
          <w:rStyle w:val="VerbatimChar"/>
        </w:rPr>
        <w:t xml:space="preserve">box_threshold=0.35</w:t>
      </w:r>
      <w:r>
        <w:t xml:space="preserve"> </w:t>
      </w:r>
      <w:r>
        <w:t xml:space="preserve">отсекает детекции с низкой уверенностью модели,</w:t>
      </w:r>
      <w:r>
        <w:t xml:space="preserve"> </w:t>
      </w:r>
      <w:r>
        <w:rPr>
          <w:rStyle w:val="VerbatimChar"/>
        </w:rPr>
        <w:t xml:space="preserve">text_threshold=0.25</w:t>
      </w:r>
      <w:r>
        <w:t xml:space="preserve"> </w:t>
      </w:r>
      <w:r>
        <w:t xml:space="preserve">— отдельный порог для соответствия текстового токена визуальному региону. Оба значения подобраны экспериментально на реальных фотографиях автомобилей.</w:t>
      </w:r>
    </w:p>
    <w:p>
      <w:pPr>
        <w:pStyle w:val="a8"/>
      </w:pPr>
      <w:r>
        <w:rPr>
          <w:b/>
          <w:bCs/>
        </w:rPr>
        <w:t xml:space="preserve">Пайплайн сегментации и объединение масок</w:t>
      </w:r>
    </w:p>
    <w:p>
      <w:pPr>
        <w:pStyle w:val="a8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_segment_sync</w:t>
      </w:r>
      <w:r>
        <w:t xml:space="preserve"> </w:t>
      </w:r>
      <w:r>
        <w:t xml:space="preserve">реализует полный пайплайн синхронно — она вызывается через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 </w:t>
      </w:r>
      <w:r>
        <w:t xml:space="preserve">из асинхронного контекста: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_segment_sync(image: Image.Image,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Image.Image: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groundingdino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_stub_mask(image)</w:t>
      </w:r>
      <w:r>
        <w:br/>
      </w:r>
      <w:r>
        <w:br/>
      </w:r>
      <w:r>
        <w:rPr>
          <w:rStyle w:val="NormalTok"/>
        </w:rPr>
        <w:t xml:space="preserve">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_get_gdino_boxes(image,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boxes: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image.size,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_load_sam2()</w:t>
      </w:r>
      <w:r>
        <w:br/>
      </w:r>
      <w:r>
        <w:rPr>
          <w:rStyle w:val="NormalTok"/>
        </w:rPr>
        <w:t xml:space="preserve">    predictor.set_image(np.array(image.convert(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np.zeros(image.size[::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boxes:</w:t>
      </w:r>
      <w:r>
        <w:br/>
      </w:r>
      <w:r>
        <w:rPr>
          <w:rStyle w:val="NormalTok"/>
        </w:rPr>
        <w:t xml:space="preserve">        box_np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np.array(box,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    masks,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predictor.predict(</w:t>
      </w:r>
      <w:r>
        <w:br/>
      </w:r>
      <w:r>
        <w:rPr>
          <w:rStyle w:val="NormalTok"/>
        </w:rPr>
        <w:t xml:space="preserve">            point_coords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point_labels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box_np[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:], multimask_output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np.maximum(combined, masks[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Image.fromarray(combined,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GroundingDINO может вернуть несколько bounding box’ов — например, для запроса «колёса» он обнаружит все четыре (или видимые два-три) колеса на фото. SAM 2 строит отдельную маску для каждого box’а. Итоговая маска формируется как поэлементный максимум всех частных масок (</w:t>
      </w:r>
      <w:r>
        <w:rPr>
          <w:rStyle w:val="VerbatimChar"/>
        </w:rPr>
        <w:t xml:space="preserve">np.maximum</w:t>
      </w:r>
      <w:r>
        <w:t xml:space="preserve">): область, отмеченная хотя бы одной из масок, становится белой (255). Это обеспечивает корректную обработку множественных вхождений одного объекта без специальных ветвлений в логике.</w:t>
      </w:r>
    </w:p>
    <w:p>
      <w:pPr>
        <w:pStyle w:val="a8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multimask_output=False</w:t>
      </w:r>
      <w:r>
        <w:t xml:space="preserve"> </w:t>
      </w:r>
      <w:r>
        <w:t xml:space="preserve">указывает SAM 2 возвращать одну наиболее вероятную маску вместо трёх кандидатов — этого достаточно при наличии точного bounding box от детектора.</w:t>
      </w:r>
    </w:p>
    <w:p>
      <w:pPr>
        <w:pStyle w:val="a8"/>
      </w:pPr>
      <w:r>
        <w:rPr>
          <w:b/>
          <w:bCs/>
        </w:rPr>
        <w:t xml:space="preserve">Заглушка для среды без GPU</w:t>
      </w:r>
    </w:p>
    <w:p>
      <w:pPr>
        <w:pStyle w:val="a8"/>
      </w:pPr>
      <w:r>
        <w:t xml:space="preserve">Если пакеты</w:t>
      </w:r>
      <w:r>
        <w:t xml:space="preserve"> </w:t>
      </w:r>
      <w:r>
        <w:rPr>
          <w:rStyle w:val="VerbatimChar"/>
        </w:rPr>
        <w:t xml:space="preserve">sam2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groundingdino</w:t>
      </w:r>
      <w:r>
        <w:t xml:space="preserve"> </w:t>
      </w:r>
      <w:r>
        <w:t xml:space="preserve">не установлены, функция возвращает центральный прямоугольник 50×50% изображения. Это намеренный компромисс: заглушка даёт нереалистичную маску, но позволяет полностью тестировать остальные части системы — агента, провайдеров генерации, SSE-стриминг — без GPU-инфраструктуры: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_stub_mask(image: Image.Image)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Image.Image: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ImageDraw</w:t>
      </w:r>
      <w:r>
        <w:br/>
      </w:r>
      <w:r>
        <w:rPr>
          <w:rStyle w:val="NormalTok"/>
        </w:rPr>
        <w:t xml:space="preserve">    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image.size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(w, h),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ImageDraw.Draw(mask).rectangle(</w:t>
      </w:r>
      <w:r>
        <w:br/>
      </w:r>
      <w:r>
        <w:rPr>
          <w:rStyle w:val="NormalTok"/>
        </w:rPr>
        <w:t xml:space="preserve">       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logger.warning(</w:t>
      </w:r>
      <w:r>
        <w:rPr>
          <w:rStyle w:val="StringTok"/>
        </w:rPr>
        <w:t xml:space="preserve">"Using stub centre-box mask (SAM2/GroundingDINO not installed)."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</w:p>
    <w:p>
      <w:pPr>
        <w:pStyle w:val="FirstParagraph"/>
      </w:pPr>
      <w:r>
        <w:t xml:space="preserve"> </w:t>
      </w:r>
    </w:p>
    <w:bookmarkEnd w:id="10"/>
    <w:bookmarkStart w:id="11" w:name="реализация-агента-и-оркестрации"/>
    <w:p>
      <w:pPr>
        <w:pStyle w:val="2"/>
      </w:pPr>
      <w:r>
        <w:t xml:space="preserve">3.3. Реализация агента и оркестрации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Агентная система является центральным компонентом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. Она отвечает за приём пользовательского запроса, управление последовательностью вызовов инструментов и сохранение хода выполнения для стриминга клиенту.</w:t>
      </w:r>
    </w:p>
    <w:p>
      <w:pPr>
        <w:pStyle w:val="a8"/>
      </w:pPr>
      <w:r>
        <w:rPr>
          <w:b/>
          <w:bCs/>
        </w:rPr>
        <w:t xml:space="preserve">Системный промпт и предотвращение галлюцинаций</w:t>
      </w:r>
    </w:p>
    <w:p>
      <w:pPr>
        <w:pStyle w:val="a8"/>
      </w:pPr>
      <w:r>
        <w:t xml:space="preserve">Ключевая инженерная проблема при использовании LLM в качестве оркестратора пайплайна — склонность модели добавлять в промпт генерации визуальные детали из своих обучающих данных. Модель «знает», как выглядят диски Volk Racing TE37, и может добавить в промпт «золотые шестиспицевые диски», даже если в каталоге хранится экземпляр совершенно другого цвета. Результат — сгенерированное изображение не соответствует реальной детали из каталога.</w:t>
      </w:r>
    </w:p>
    <w:p>
      <w:pPr>
        <w:pStyle w:val="a8"/>
      </w:pPr>
      <w:r>
        <w:t xml:space="preserve">Для решения проблемы в системном промпте сформулирован явный запрет с примером:</w:t>
      </w:r>
    </w:p>
    <w:p>
      <w:pPr>
        <w:pStyle w:val="SourceCode"/>
      </w:pPr>
      <w:r>
        <w:rPr>
          <w:rStyle w:val="NormalTok"/>
        </w:rPr>
        <w:t xml:space="preserve">_DEFAULT_SYSTEM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an AI car tuning assistant. Help users visually tune cars by: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 Searching the parts library for relevant components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"2. Segmenting the target area on the car to create a mask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"3. Generating an inpainted result with the new part applied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"CRITICAL RULE for generate_image prompt: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ONLY the exact part name and description returned by search_parts.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invent, add, or infer any visual details (color, finish, material,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"spoke count, etc.) that are not explicitly stated in the search results.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use your own knowledge about what that brand/model looks like.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"Example: if search returns name='Volk Racing TE37' with no color info,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prompt must be 'Replace wheels with Volk Racing TE37, photorealistic,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"matching car lighting' — nothing more.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"If multiple car images are provided, pass the first as source_image_url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rest as extra_source_image_urls (comma-separated).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"Think step by step. Use tools in order."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Промпт содержит конкретный пример допустимого и недопустимого поведения, что значительно более эффективно, чем абстрактный запрет — языковые модели лучше следуют инструкциям с образцом.</w:t>
      </w:r>
    </w:p>
    <w:p>
      <w:pPr>
        <w:pStyle w:val="a8"/>
      </w:pPr>
      <w:r>
        <w:rPr>
          <w:b/>
          <w:bCs/>
        </w:rPr>
        <w:t xml:space="preserve">Поддержка нескольких LLM-провайдеров</w:t>
      </w:r>
    </w:p>
    <w:p>
      <w:pPr>
        <w:pStyle w:val="a8"/>
      </w:pPr>
      <w:r>
        <w:t xml:space="preserve">Архитектура агента поддерживает три провайдера языковых моделей, что позволяет использовать систему как с коммерческими API (OpenAI, Anthropic), так и с локально развёрнутыми моделями через OpenAI-совместимый интерфейс (Ollama, LM Studio). Выбор провайдера осуществляется через переменную окружения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без изменения кода: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_build_llm()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settings.LLM_PROVIDER.lower()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langchain_anthropic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ChatAnthropic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ChatAnthropic(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"openai_compatible"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settings.LLM_BASE_URL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default: openai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Температура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обеспечивает детерминированный выбор инструментов — более высокие значения приводят к нестабильному порядку вызовов. Таймаут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секунд установлен с учётом того, что за одну сессию модель может сделать несколько вызовов инструментов, каждый из которых занимает десятки секунд (сегментация, генерация изображения).</w:t>
      </w:r>
    </w:p>
    <w:p>
      <w:pPr>
        <w:pStyle w:val="a8"/>
      </w:pPr>
      <w:r>
        <w:rPr>
          <w:b/>
          <w:bCs/>
        </w:rPr>
        <w:t xml:space="preserve">Режим заглушки</w:t>
      </w:r>
    </w:p>
    <w:p>
      <w:pPr>
        <w:pStyle w:val="a8"/>
      </w:pPr>
      <w:r>
        <w:t xml:space="preserve">При отсутствии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в переменных окружения агент переключается в режим заглушки</w:t>
      </w:r>
      <w:r>
        <w:t xml:space="preserve"> </w:t>
      </w:r>
      <w:r>
        <w:rPr>
          <w:rStyle w:val="VerbatimChar"/>
        </w:rPr>
        <w:t xml:space="preserve">_run_stub_agent</w:t>
      </w:r>
      <w:r>
        <w:t xml:space="preserve">, который напрямую вызывает инструменты в фиксированном порядке, минуя языковую модель. Это позволяет тестировать пайплайн в целом без LLM API ключа — что критически важно для локальной разработки.</w:t>
      </w:r>
    </w:p>
    <w:p>
      <w:pPr>
        <w:pStyle w:val="a8"/>
      </w:pPr>
      <w:r>
        <w:rPr>
          <w:b/>
          <w:bCs/>
        </w:rPr>
        <w:t xml:space="preserve">Жизненный цикл сессии в воркере</w:t>
      </w:r>
    </w:p>
    <w:p>
      <w:pPr>
        <w:pStyle w:val="a8"/>
      </w:pPr>
      <w:r>
        <w:t xml:space="preserve">Задача</w:t>
      </w:r>
      <w:r>
        <w:t xml:space="preserve"> </w:t>
      </w:r>
      <w:r>
        <w:rPr>
          <w:rStyle w:val="VerbatimChar"/>
        </w:rPr>
        <w:t xml:space="preserve">run_agent_session</w:t>
      </w:r>
      <w:r>
        <w:t xml:space="preserve"> </w:t>
      </w:r>
      <w:r>
        <w:t xml:space="preserve">выполняется воркером SAQ. Она обновляет статус сессии на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 запускает агент и сохраняет каждое событие в 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записи БД по мере поступления: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run_agent_stream(...):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db.get(AgentSession, sid)</w:t>
      </w:r>
      <w:r>
        <w:br/>
      </w:r>
      <w:r>
        <w:rPr>
          <w:rStyle w:val="NormalTok"/>
        </w:rPr>
        <w:t xml:space="preserve">        s.events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(s.events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[event]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s.result_image_urls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"result_image_urls"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</w:p>
    <w:p>
      <w:pPr>
        <w:pStyle w:val="FirstParagraph"/>
      </w:pPr>
      <w:r>
        <w:t xml:space="preserve">Каждое событие фиксируется в отдельной транзакции — это гарантирует, что SSE-стрим получит событие немедленно после его генерации агентом, даже если последующие шаги завершатся ошибкой.</w:t>
      </w:r>
    </w:p>
    <w:p>
      <w:pPr>
        <w:pStyle w:val="a8"/>
      </w:pPr>
      <w:r>
        <w:rPr>
          <w:b/>
          <w:bCs/>
        </w:rPr>
        <w:t xml:space="preserve">SSE-стриминг через опрос базы данных</w:t>
      </w:r>
    </w:p>
    <w:p>
      <w:pPr>
        <w:pStyle w:val="a8"/>
      </w:pPr>
      <w:r>
        <w:t xml:space="preserve">Эндпоинт</w:t>
      </w:r>
      <w:r>
        <w:t xml:space="preserve"> </w:t>
      </w:r>
      <w:r>
        <w:rPr>
          <w:rStyle w:val="VerbatimChar"/>
        </w:rPr>
        <w:t xml:space="preserve">GET /api/agent/sessions/{id}/stream</w:t>
      </w:r>
      <w:r>
        <w:t xml:space="preserve"> </w:t>
      </w:r>
      <w:r>
        <w:t xml:space="preserve">реализует SSE через периодический опрос БД с интервалом 0.5 секунды. Переменная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хранит количество уже отправленных событий, что позволяет отправлять клиенту только новые: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generator()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AsyncGenerator[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db.get(AgentSession, uuid.UUID(session_id))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'session not found'</w:t>
      </w:r>
      <w:r>
        <w:rPr>
          <w:rStyle w:val="NormalTok"/>
        </w:rPr>
        <w:t xml:space="preserve">})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(s.events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[])[seen:]: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dumps(event)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(s.events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s.status})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Архитектурное решение — опрос БД вместо прямой передачи событий от воркера к SSE-обработчику — обусловлено тем, что воркер и API работают в разных процессах (и потенциально на разных машинах). Прямая передача потребовала бы дополнительного брокера сообщений (Redis Pub/Sub или WebSocket-сервера). Опрос БД решает задачу без усложнения инфраструктуры: любой экземпляр API может обслуживать стрим любой сессии, читая данные из общей БД.</w:t>
      </w:r>
    </w:p>
    <w:p>
      <w:pPr>
        <w:pStyle w:val="a8"/>
      </w:pPr>
      <w:r>
        <w:t xml:space="preserve"> </w:t>
      </w:r>
    </w:p>
    <w:bookmarkEnd w:id="11"/>
    <w:bookmarkStart w:id="12" w:name="реализация-провайдеров-инпейнтинга"/>
    <w:p>
      <w:pPr>
        <w:pStyle w:val="2"/>
      </w:pPr>
      <w:r>
        <w:t xml:space="preserve">3.4. Реализация провайдеров инпейнтинга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Подсистема генерации изображений спроектирована по паттерну «стратегия»: конкретный алгоритм генерации инкапсулирован в отдельном классе-провайдере, а агент работает с унифицированным интерфейсом, не зависящим от реализации.</w:t>
      </w:r>
    </w:p>
    <w:p>
      <w:pPr>
        <w:pStyle w:val="a8"/>
      </w:pPr>
      <w:r>
        <w:rPr>
          <w:b/>
          <w:bCs/>
        </w:rPr>
        <w:t xml:space="preserve">Протокол InpaintProvider</w:t>
      </w:r>
    </w:p>
    <w:p>
      <w:pPr>
        <w:pStyle w:val="a8"/>
      </w:pPr>
      <w:r>
        <w:t xml:space="preserve">Интерфейс провайдера определён через Python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— механизм структурной типизации, не требующий наследования от базового класса. Это упрощает добавление новых провайдеров: достаточно реализовать единственный асинхронный метод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@runtime_checkable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InpaintProvider(Protocol):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image: Image.Image,</w:t>
      </w:r>
      <w:r>
        <w:br/>
      </w:r>
      <w:r>
        <w:rPr>
          <w:rStyle w:val="NormalTok"/>
        </w:rPr>
        <w:t xml:space="preserve">        mask: Image.Image,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part_image: Image.Image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extra_images: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[Image.Image]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[Image.Image]: ...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part_image</w:t>
      </w:r>
      <w:r>
        <w:t xml:space="preserve"> </w:t>
      </w:r>
      <w:r>
        <w:t xml:space="preserve">передаёт изображение детали из каталога — провайдеры, поддерживающие референсные изображения (Polza/FLUX.2 Pro), используют его для максимально точного воспроизведения внешнего вида детали. Параметр</w:t>
      </w:r>
      <w:r>
        <w:t xml:space="preserve"> </w:t>
      </w:r>
      <w:r>
        <w:rPr>
          <w:rStyle w:val="VerbatimChar"/>
        </w:rPr>
        <w:t xml:space="preserve">extra_images</w:t>
      </w:r>
      <w:r>
        <w:t xml:space="preserve"> </w:t>
      </w:r>
      <w:r>
        <w:t xml:space="preserve">— список дополнительных фото автомобиля с разных ракурсов, которые FLUX.2 Pro учитывает для понимания геометрии автомобиля.</w:t>
      </w:r>
    </w:p>
    <w:p>
      <w:pPr>
        <w:pStyle w:val="a8"/>
      </w:pPr>
      <w:r>
        <w:rPr>
          <w:b/>
          <w:bCs/>
        </w:rPr>
        <w:t xml:space="preserve">Фабрика провайдеров</w:t>
      </w:r>
    </w:p>
    <w:p>
      <w:pPr>
        <w:pStyle w:val="a8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_make_provider</w:t>
      </w:r>
      <w:r>
        <w:t xml:space="preserve"> </w:t>
      </w:r>
      <w:r>
        <w:t xml:space="preserve">реализует выбор провайдера по строковому имени. Провайдер может быть задан через переменную окружения</w:t>
      </w:r>
      <w:r>
        <w:t xml:space="preserve"> </w:t>
      </w:r>
      <w:r>
        <w:rPr>
          <w:rStyle w:val="VerbatimChar"/>
        </w:rPr>
        <w:t xml:space="preserve">INPAINT_PROVIDER</w:t>
      </w:r>
      <w:r>
        <w:t xml:space="preserve"> </w:t>
      </w:r>
      <w:r>
        <w:t xml:space="preserve">(для всего сервиса) или передан в параметре конкретного запроса (для переключения из UI без перезапуска сервиса):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_make_provider(name: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InpaintProvider: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"polza"</w:t>
      </w:r>
      <w:r>
        <w:rPr>
          <w:rStyle w:val="NormalTok"/>
        </w:rPr>
        <w:t xml:space="preserve">: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PolzaInpaintProvider()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"gpt_image"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GptImageInpaintProvider()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"diffusers"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DiffusersFluxFillProvider()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"sdxl"</w:t>
      </w:r>
      <w:r>
        <w:rPr>
          <w:rStyle w:val="NormalTok"/>
        </w:rPr>
        <w:t xml:space="preserve">: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DiffusersSDXLInpaintProvider()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"genapi"</w:t>
      </w:r>
      <w:r>
        <w:rPr>
          <w:rStyle w:val="NormalTok"/>
        </w:rPr>
        <w:t xml:space="preserve">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GenApiFluxInpaintProvider()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"kontext"</w:t>
      </w:r>
      <w:r>
        <w:rPr>
          <w:rStyle w:val="NormalTok"/>
        </w:rPr>
        <w:t xml:space="preserve">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GenApiKontextProvider()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"klein"</w:t>
      </w:r>
      <w:r>
        <w:rPr>
          <w:rStyle w:val="NormalTok"/>
        </w:rPr>
        <w:t xml:space="preserve">: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GenApiKleinProvider()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StubInpaintProvider()</w:t>
      </w:r>
    </w:p>
    <w:p>
      <w:pPr>
        <w:pStyle w:val="FirstParagraph"/>
      </w:pPr>
      <w:r>
        <w:rPr>
          <w:b/>
          <w:bCs/>
        </w:rPr>
        <w:t xml:space="preserve">Локальные провайдеры: SDXL и FLUX.1 Fill</w:t>
      </w:r>
    </w:p>
    <w:p>
      <w:pPr>
        <w:pStyle w:val="a8"/>
      </w:pPr>
      <w:r>
        <w:t xml:space="preserve">Оба локальных провайдера загружают веса через библиотеку</w:t>
      </w:r>
      <w:r>
        <w:t xml:space="preserve"> </w:t>
      </w:r>
      <w:r>
        <w:rPr>
          <w:rStyle w:val="VerbatimChar"/>
        </w:rPr>
        <w:t xml:space="preserve">diffusers</w:t>
      </w:r>
      <w:r>
        <w:t xml:space="preserve"> </w:t>
      </w:r>
      <w:r>
        <w:t xml:space="preserve">и запускаются на доступном устройстве.</w:t>
      </w:r>
      <w:r>
        <w:t xml:space="preserve"> </w:t>
      </w:r>
      <w:r>
        <w:rPr>
          <w:rStyle w:val="VerbatimChar"/>
        </w:rPr>
        <w:t xml:space="preserve">DiffusersSDXLInpaintProvider</w:t>
      </w:r>
      <w:r>
        <w:t xml:space="preserve"> </w:t>
      </w:r>
      <w:r>
        <w:t xml:space="preserve">использует модель</w:t>
      </w:r>
      <w:r>
        <w:t xml:space="preserve"> </w:t>
      </w:r>
      <w:r>
        <w:rPr>
          <w:rStyle w:val="VerbatimChar"/>
        </w:rPr>
        <w:t xml:space="preserve">stable-diffusion-xl-1.0-inpainting-0.1</w:t>
      </w:r>
      <w:r>
        <w:t xml:space="preserve"> </w:t>
      </w:r>
      <w:r>
        <w:t xml:space="preserve">(~7 ГБ), не требующую токена HuggingFace. Перед подачей в модель маска дилатируется фильтром</w:t>
      </w:r>
      <w:r>
        <w:t xml:space="preserve"> </w:t>
      </w:r>
      <w:r>
        <w:rPr>
          <w:rStyle w:val="VerbatimChar"/>
        </w:rPr>
        <w:t xml:space="preserve">MaxFilter(15)</w:t>
      </w:r>
      <w:r>
        <w:t xml:space="preserve"> </w:t>
      </w:r>
      <w:r>
        <w:t xml:space="preserve">— расширение маски на 15 пикселей даёт модели контекст вокруг границ объекта, что заметно улучшает качество стыковки сгенерированного региона с оригинальным изображением:</w:t>
      </w:r>
    </w:p>
    <w:p>
      <w:pPr>
        <w:pStyle w:val="SourceCode"/>
      </w:pP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(ImageFilter.MaxFilter(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image, mask_image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</w:t>
      </w:r>
      <w:r>
        <w:br/>
      </w:r>
      <w:r>
        <w:rPr>
          <w:rStyle w:val="NormalTok"/>
        </w:rPr>
        <w:t xml:space="preserve">    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padding_mask_crop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кадрировать вокруг маски</w:t>
      </w:r>
      <w:r>
        <w:br/>
      </w:r>
      <w:r>
        <w:rPr>
          <w:rStyle w:val="NormalTok"/>
        </w:rPr>
        <w:t xml:space="preserve">    guidance_scale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num_inference_steps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DiffusersFluxFillProvider</w:t>
      </w:r>
      <w:r>
        <w:t xml:space="preserve"> </w:t>
      </w:r>
      <w:r>
        <w:t xml:space="preserve">загружает FLUX.1 Fill Dev (~20 ГБ). FLUX требует размеры изображения, кратные 8 — это техническое ограничение архитектуры трансформерных блоков, которое проверяется и исправляется перед вызовом:</w:t>
      </w:r>
    </w:p>
    <w:p>
      <w:pPr>
        <w:pStyle w:val="SourceCode"/>
      </w:pP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image.resize((w, h), Image.LANCZOS)</w:t>
      </w:r>
      <w:r>
        <w:br/>
      </w:r>
      <w:r>
        <w:rPr>
          <w:rStyle w:val="NormalTok"/>
        </w:rPr>
        <w:t xml:space="preserve">mask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mask.resize((w, h), Image.LANCZOS)</w:t>
      </w:r>
    </w:p>
    <w:p>
      <w:pPr>
        <w:pStyle w:val="FirstParagraph"/>
      </w:pPr>
      <w:r>
        <w:t xml:space="preserve">Оба локальных провайдера запускают синхронный пайплайн диффузии через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, параллельно генерируя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вариантов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</w:p>
    <w:p>
      <w:pPr>
        <w:pStyle w:val="a8"/>
      </w:pPr>
      <w:r>
        <w:rPr>
          <w:b/>
          <w:bCs/>
        </w:rPr>
        <w:t xml:space="preserve">Главный провайдер: Polza (FLUX.2 Pro)</w:t>
      </w:r>
    </w:p>
    <w:p>
      <w:pPr>
        <w:pStyle w:val="a8"/>
      </w:pPr>
      <w:r>
        <w:rPr>
          <w:rStyle w:val="VerbatimChar"/>
        </w:rPr>
        <w:t xml:space="preserve">PolzaInpaintProvider</w:t>
      </w:r>
      <w:r>
        <w:t xml:space="preserve"> </w:t>
      </w:r>
      <w:r>
        <w:t xml:space="preserve">взаимодействует с API polza.ai, предоставляющим доступ к FLUX.2 Pro — модели с 32 млрд параметров и нативной поддержкой массива входных изображений. Ключевая особенность реализации — нестандартный порядок передачи изображений, который позволяет модели самостоятельно интерпретировать роли входных данных на основе промпта:</w:t>
      </w:r>
    </w:p>
    <w:p>
      <w:pPr>
        <w:pStyle w:val="SourceCode"/>
      </w:pPr>
      <w:r>
        <w:rPr>
          <w:rStyle w:val="CommentTok"/>
        </w:rPr>
        <w:t xml:space="preserve"># Порядок: [0] маска, [1] референс детали (если есть), [2] фото авто, [3+] доп. ракурсы</w:t>
      </w:r>
      <w:r>
        <w:br/>
      </w:r>
      <w:r>
        <w:rPr>
          <w:rStyle w:val="NormalTok"/>
        </w:rPr>
        <w:t xml:space="preserve">images_payload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_img_to_b64(mask_resized)}]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part_image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part_image.convert(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).copy()</w:t>
      </w:r>
      <w:r>
        <w:br/>
      </w:r>
      <w:r>
        <w:rPr>
          <w:rStyle w:val="NormalTok"/>
        </w:rPr>
        <w:t xml:space="preserve">    ref.thumbnail((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 Image.LANCZOS)</w:t>
      </w:r>
      <w:r>
        <w:br/>
      </w:r>
      <w:r>
        <w:rPr>
          <w:rStyle w:val="NormalTok"/>
        </w:rPr>
        <w:t xml:space="preserve">    images_payload.append({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_img_to_b64(ref)})</w:t>
      </w:r>
      <w:r>
        <w:br/>
      </w:r>
      <w:r>
        <w:rPr>
          <w:rStyle w:val="NormalTok"/>
        </w:rPr>
        <w:t xml:space="preserve">images_payload.append({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_img_to_b64(img_resized)})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(extra_images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[]):</w:t>
      </w:r>
      <w:r>
        <w:br/>
      </w:r>
      <w:r>
        <w:rPr>
          <w:rStyle w:val="NormalTok"/>
        </w:rPr>
        <w:t xml:space="preserve">    images_payload.append({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_img_to_b64(ex)})</w:t>
      </w:r>
    </w:p>
    <w:p>
      <w:pPr>
        <w:pStyle w:val="FirstParagraph"/>
      </w:pPr>
      <w:r>
        <w:t xml:space="preserve">Промпт явно указывает модели роль каждого изображения через нумерацию, что является рекомендованным подходом для мультиизображённых запросов к FLUX.2 Pro:</w:t>
      </w:r>
    </w:p>
    <w:p>
      <w:pPr>
        <w:pStyle w:val="SourceCode"/>
      </w:pPr>
      <w:r>
        <w:rPr>
          <w:rStyle w:val="NormalTok"/>
        </w:rPr>
        <w:t xml:space="preserve">final_prompt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image 1 as the inpainting mask.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image 2 as the reference part — replicate its exact visual appearance,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"color, and finish.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f"Edit car photo in image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car_index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API polza.ai может возвращать результат либо синхронно, либо в виде задачи с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. Провайдер обрабатывает оба случая: при синхронном ответе URL извлекается немедленно, при асинхронном запускается цикл опроса с интервалом 2 секунды и таймаутом 180 секунд.</w:t>
      </w:r>
    </w:p>
    <w:p>
      <w:pPr>
        <w:pStyle w:val="a8"/>
      </w:pPr>
      <w:r>
        <w:t xml:space="preserve">Генерация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вариантов запускается параллельно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; каждый вариант получает уникальный seed (базовый 1000, шаг 42), что обеспечивает разнообразие результатов при детерминированной воспроизводимости: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image, mask, prompt,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[Image.Image]: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_call_api(image, mask, prompt,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tasks))</w:t>
      </w:r>
    </w:p>
    <w:p>
      <w:pPr>
        <w:pStyle w:val="FirstParagraph"/>
      </w:pPr>
      <w:r>
        <w:t xml:space="preserve"> </w:t>
      </w:r>
    </w:p>
    <w:bookmarkEnd w:id="12"/>
    <w:bookmarkStart w:id="13" w:name="реализация-клиентского-приложения"/>
    <w:p>
      <w:pPr>
        <w:pStyle w:val="2"/>
      </w:pPr>
      <w:r>
        <w:t xml:space="preserve">3.5. Реализация клиентского приложения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Клиентское приложение построено на SvelteKit и организовано в две основные страницы: Studio — интерактивная рабочая поверхность для запуска агента, и Parts — каталог деталей. Приложение взаимодействует с бэкендом исключительно через REST JSON API и SSE-стрим; состояние хранится реактивно в компонентах Svelte без внешних state management библиотек.</w:t>
      </w:r>
    </w:p>
    <w:p>
      <w:pPr>
        <w:pStyle w:val="a8"/>
      </w:pPr>
      <w:r>
        <w:rPr>
          <w:b/>
          <w:bCs/>
        </w:rPr>
        <w:t xml:space="preserve">Studio: управление загрузкой изображений</w:t>
      </w:r>
    </w:p>
    <w:p>
      <w:pPr>
        <w:pStyle w:val="a8"/>
      </w:pPr>
      <w:r>
        <w:t xml:space="preserve">Страница Studio поддерживает загрузку нескольких фотографий автомобиля — с разных ракурсов для улучшения понимания геометрии моделью FLUX.2 Pro. Изображения принимаются как через стандартный диалог выбора файла, так и через drag-and-drop. Миниатюры предварительного просмотра создаются через</w:t>
      </w:r>
      <w:r>
        <w:t xml:space="preserve"> </w:t>
      </w:r>
      <w:r>
        <w:rPr>
          <w:rStyle w:val="VerbatimChar"/>
        </w:rPr>
        <w:t xml:space="preserve">URL.createObjectURL</w:t>
      </w:r>
      <w:r>
        <w:t xml:space="preserve"> </w:t>
      </w:r>
      <w:r>
        <w:t xml:space="preserve">без отправки файлов на сервер: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handleFiles</w:t>
      </w:r>
      <w:r>
        <w:rPr>
          <w:rStyle w:val="NormalTok"/>
        </w:rPr>
        <w:t xml:space="preserve">(files) {</w:t>
      </w:r>
      <w:r>
        <w:br/>
      </w:r>
      <w:r>
        <w:rPr>
          <w:rStyle w:val="NormalTok"/>
        </w:rPr>
        <w:t xml:space="preserve">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(files)]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Интерфейс позволяет удалять отдельные изображения из очереди до отправки. Пользователь выбирает провайдера генерации и количество вариантов результата прямо в UI — эти параметры передаются в API как поля формы и маршрутизируются до воркера без изменения логики агента.</w:t>
      </w:r>
    </w:p>
    <w:p>
      <w:pPr>
        <w:pStyle w:val="a8"/>
      </w:pPr>
      <w:r>
        <w:rPr>
          <w:b/>
          <w:bCs/>
        </w:rPr>
        <w:t xml:space="preserve">Запуск агента и подключение к SSE-стриму</w:t>
      </w:r>
    </w:p>
    <w:p>
      <w:pPr>
        <w:pStyle w:val="a8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формирует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и отправляет запрос к бэкенду. После получения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немедленно открывается SSE-соединение. Каждое входящее событие добавляется в реактивный массив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 что автоматически обновляет лог без явных DOM-манипуляций — реактивность Svelte перерисовывает только изменившиеся части компонента: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'user_prompt'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(nVariants))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'inpaint_provider'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inpaintProvider)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images)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session_id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(fd)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stopStream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session_id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result_image_urls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resultUrls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result_image_urls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selectedResult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resultUrls[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(finalStatus)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stopStream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streamSession</w:t>
      </w:r>
      <w:r>
        <w:t xml:space="preserve"> </w:t>
      </w:r>
      <w:r>
        <w:t xml:space="preserve">возвращает функцию</w:t>
      </w:r>
      <w:r>
        <w:t xml:space="preserve"> </w:t>
      </w:r>
      <w:r>
        <w:rPr>
          <w:rStyle w:val="VerbatimChar"/>
        </w:rPr>
        <w:t xml:space="preserve">stopStream</w:t>
      </w:r>
      <w:r>
        <w:t xml:space="preserve">, вызов которой закрывает EventSource и прекращает опрос. Это необходимо для корректного сброса состояния при повторном запуске агента.</w:t>
      </w:r>
    </w:p>
    <w:p>
      <w:pPr>
        <w:pStyle w:val="a8"/>
      </w:pPr>
      <w:r>
        <w:rPr>
          <w:b/>
          <w:bCs/>
        </w:rPr>
        <w:t xml:space="preserve">Компонент EventLog</w:t>
      </w:r>
    </w:p>
    <w:p>
      <w:pPr>
        <w:pStyle w:val="a8"/>
      </w:pPr>
      <w:r>
        <w:rPr>
          <w:rStyle w:val="VerbatimChar"/>
        </w:rPr>
        <w:t xml:space="preserve">EventLog.svelte</w:t>
      </w:r>
      <w:r>
        <w:t xml:space="preserve"> </w:t>
      </w:r>
      <w:r>
        <w:t xml:space="preserve">отображает журнал выполнения агента в монопространственном шрифте с цветовой дифференциацией по типу события. Компонент принимает массив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export let events</w:t>
      </w:r>
      <w:r>
        <w:t xml:space="preserve">, что делает его чисто презентационным без собственного состояния:</w:t>
      </w:r>
    </w:p>
    <w:p>
      <w:pPr>
        <w:pStyle w:val="SourceCode"/>
      </w:pPr>
      <w:r>
        <w:rPr>
          <w:rStyle w:val="VerbatimChar"/>
        </w:rPr>
        <w:t xml:space="preserve">{#each events as event}</w:t>
      </w:r>
      <w:r>
        <w:br/>
      </w:r>
      <w:r>
        <w:rPr>
          <w:rStyle w:val="VerbatimChar"/>
        </w:rPr>
        <w:t xml:space="preserve">  &lt;div class="entry type-{event.type}"&gt;</w:t>
      </w:r>
      <w:r>
        <w:br/>
      </w:r>
      <w:r>
        <w:rPr>
          <w:rStyle w:val="VerbatimChar"/>
        </w:rPr>
        <w:t xml:space="preserve">    &lt;span class="icon"&gt;{icons[event.type] ?? '·'}&lt;/span&gt;</w:t>
      </w:r>
      <w:r>
        <w:br/>
      </w:r>
      <w:r>
        <w:rPr>
          <w:rStyle w:val="VerbatimChar"/>
        </w:rPr>
        <w:t xml:space="preserve">    &lt;div class="body"&gt;</w:t>
      </w:r>
      <w:r>
        <w:br/>
      </w:r>
      <w:r>
        <w:rPr>
          <w:rStyle w:val="VerbatimChar"/>
        </w:rPr>
        <w:t xml:space="preserve">      {#if event.type === 'thinking'}</w:t>
      </w:r>
      <w:r>
        <w:br/>
      </w:r>
      <w:r>
        <w:rPr>
          <w:rStyle w:val="VerbatimChar"/>
        </w:rPr>
        <w:t xml:space="preserve">        &lt;span class="muted"&gt;{event.content}&lt;/span&gt;</w:t>
      </w:r>
      <w:r>
        <w:br/>
      </w:r>
      <w:r>
        <w:rPr>
          <w:rStyle w:val="VerbatimChar"/>
        </w:rPr>
        <w:t xml:space="preserve">      {:else if event.type === 'tool_call'}</w:t>
      </w:r>
      <w:r>
        <w:br/>
      </w:r>
      <w:r>
        <w:rPr>
          <w:rStyle w:val="VerbatimChar"/>
        </w:rPr>
        <w:t xml:space="preserve">        &lt;span class="tool"&gt;{event.tool}&lt;/span&gt;</w:t>
      </w:r>
      <w:r>
        <w:br/>
      </w:r>
      <w:r>
        <w:rPr>
          <w:rStyle w:val="VerbatimChar"/>
        </w:rPr>
        <w:t xml:space="preserve">        &lt;span class="muted"&gt; ← {event.input}&lt;/span&gt;</w:t>
      </w:r>
      <w:r>
        <w:br/>
      </w:r>
      <w:r>
        <w:rPr>
          <w:rStyle w:val="VerbatimChar"/>
        </w:rPr>
        <w:t xml:space="preserve">      {:else if event.type === 'tool_result'}</w:t>
      </w:r>
      <w:r>
        <w:br/>
      </w:r>
      <w:r>
        <w:rPr>
          <w:rStyle w:val="VerbatimChar"/>
        </w:rPr>
        <w:t xml:space="preserve">        &lt;span class="muted output"&gt;{event.output?.slice(0, 200)}{event.output?.length &gt; 200 ? '…' : ''}&lt;/span&gt;</w:t>
      </w:r>
      <w:r>
        <w:br/>
      </w:r>
      <w:r>
        <w:rPr>
          <w:rStyle w:val="VerbatimChar"/>
        </w:rPr>
        <w:t xml:space="preserve">      {:else if event.type === 'result'}</w:t>
      </w:r>
      <w:r>
        <w:br/>
      </w:r>
      <w:r>
        <w:rPr>
          <w:rStyle w:val="VerbatimChar"/>
        </w:rPr>
        <w:t xml:space="preserve">        &lt;span&gt;{event.output}&lt;/span&gt;</w:t>
      </w:r>
      <w:r>
        <w:br/>
      </w:r>
      <w:r>
        <w:rPr>
          <w:rStyle w:val="VerbatimChar"/>
        </w:rPr>
        <w:t xml:space="preserve">      {:else if event.type === 'error'}</w:t>
      </w:r>
      <w:r>
        <w:br/>
      </w:r>
      <w:r>
        <w:rPr>
          <w:rStyle w:val="VerbatimChar"/>
        </w:rPr>
        <w:t xml:space="preserve">        &lt;span class="error"&gt;{event.message}&lt;/span&gt;</w:t>
      </w:r>
      <w:r>
        <w:br/>
      </w:r>
      <w:r>
        <w:rPr>
          <w:rStyle w:val="VerbatimChar"/>
        </w:rPr>
        <w:t xml:space="preserve">      {/if}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{/each}</w:t>
      </w:r>
    </w:p>
    <w:p>
      <w:pPr>
        <w:pStyle w:val="FirstParagraph"/>
      </w:pPr>
      <w:r>
        <w:t xml:space="preserve">Стили привязываются к типу события через динамический CSS-класс</w:t>
      </w:r>
      <w:r>
        <w:t xml:space="preserve"> </w:t>
      </w:r>
      <w:r>
        <w:rPr>
          <w:rStyle w:val="VerbatimChar"/>
        </w:rPr>
        <w:t xml:space="preserve">type-{event.type}</w:t>
      </w:r>
      <w:r>
        <w:t xml:space="preserve">: мысли агента (</w:t>
      </w:r>
      <w:r>
        <w:rPr>
          <w:rStyle w:val="VerbatimChar"/>
        </w:rPr>
        <w:t xml:space="preserve">thinking</w:t>
      </w:r>
      <w:r>
        <w:t xml:space="preserve">) отображаются приглушённым серым цветом, вызовы инструментов (</w:t>
      </w:r>
      <w:r>
        <w:rPr>
          <w:rStyle w:val="VerbatimChar"/>
        </w:rPr>
        <w:t xml:space="preserve">tool_call</w:t>
      </w:r>
      <w:r>
        <w:t xml:space="preserve">) — на тёмно-синем фоне с выделенным именем инструмента, результаты инструментов (</w:t>
      </w:r>
      <w:r>
        <w:rPr>
          <w:rStyle w:val="VerbatimChar"/>
        </w:rPr>
        <w:t xml:space="preserve">tool_result</w:t>
      </w:r>
      <w:r>
        <w:t xml:space="preserve">) — на нейтральном фоне, финальный результат (</w:t>
      </w:r>
      <w:r>
        <w:rPr>
          <w:rStyle w:val="VerbatimChar"/>
        </w:rPr>
        <w:t xml:space="preserve">result</w:t>
      </w:r>
      <w:r>
        <w:t xml:space="preserve">) — на тёмно-зелёном. Длинные выводы инструментов обрезаются до 200 символов с многоточием, чтобы не перегружать интерфейс объёмными JSON-ответами.</w:t>
      </w:r>
    </w:p>
    <w:p>
      <w:pPr>
        <w:pStyle w:val="a8"/>
      </w:pPr>
      <w:r>
        <w:rPr>
          <w:b/>
          <w:bCs/>
        </w:rPr>
        <w:t xml:space="preserve">Страница Parts</w:t>
      </w:r>
    </w:p>
    <w:p>
      <w:pPr>
        <w:pStyle w:val="a8"/>
      </w:pPr>
      <w:r>
        <w:t xml:space="preserve">Страница каталога деталей отображает сетку карточек</w:t>
      </w:r>
      <w:r>
        <w:t xml:space="preserve"> </w:t>
      </w:r>
      <w:r>
        <w:rPr>
          <w:rStyle w:val="VerbatimChar"/>
        </w:rPr>
        <w:t xml:space="preserve">PartCard.svelte</w:t>
      </w:r>
      <w:r>
        <w:t xml:space="preserve"> </w:t>
      </w:r>
      <w:r>
        <w:t xml:space="preserve">с поддержкой фильтрации по домену и категории. Карточки показывают обработанное изображение (с прозрачным фоном на тёмном фоне карточки), название, категорию и статус обработки. Детали со статусом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отображаются визуально отличительно, что позволяет администратору контролировать процесс обработки каталога непосредственно из браузера.</w:t>
      </w:r>
    </w:p>
    <w:p>
      <w:pPr>
        <w:pStyle w:val="a8"/>
      </w:pPr>
      <w:r>
        <w:t xml:space="preserve"> </w:t>
      </w:r>
    </w:p>
    <w:bookmarkEnd w:id="13"/>
    <w:bookmarkStart w:id="19" w:name="тестирование-и-оценка-качества-системы"/>
    <w:p>
      <w:pPr>
        <w:pStyle w:val="2"/>
      </w:pPr>
      <w:r>
        <w:t xml:space="preserve">3.6. Тестирование и оценка качества системы</w:t>
      </w:r>
    </w:p>
    <w:p>
      <w:pPr>
        <w:pStyle w:val="FirstParagraph"/>
      </w:pPr>
      <w:r>
        <w:t xml:space="preserve"> </w:t>
      </w:r>
    </w:p>
    <w:bookmarkStart w:id="14" w:name="методология-тестирования"/>
    <w:p>
      <w:pPr>
        <w:pStyle w:val="3"/>
      </w:pPr>
      <w:r>
        <w:t xml:space="preserve">3.6.1. Методология тестирования</w:t>
      </w:r>
    </w:p>
    <w:p>
      <w:pPr>
        <w:pStyle w:val="FirstParagraph"/>
      </w:pPr>
      <w:r>
        <w:t xml:space="preserve">Тестирование системы проводилось по трём направлениям: оценка качества семантического поиска по каталогу, оценка качества сегментации изображений и оценка качества генерации результирующих изображений. Для объективной оценки генерации применялась метрика CLIP Score — косинусное сходство между эмбеддингами изображения и текстового промпта, вычисляемое моделью CLIP ViT-B/32. Значение CLIP Score находится в диапазоне [0, 1]; для фотореалистичных генераций характерен диапазон 0,15–0,30. Тестирование проводилось на реальных данных системы, накопленных в ходе разработки: 73 сессии, 41 из которых завершилась с результирующим изображением.</w:t>
      </w:r>
    </w:p>
    <w:bookmarkEnd w:id="14"/>
    <w:bookmarkStart w:id="15" w:name="оценка-семантического-поиска"/>
    <w:p>
      <w:pPr>
        <w:pStyle w:val="3"/>
      </w:pPr>
      <w:r>
        <w:t xml:space="preserve">3.6.2. Оценка семантического поиска</w:t>
      </w:r>
    </w:p>
    <w:p>
      <w:pPr>
        <w:pStyle w:val="FirstParagraph"/>
      </w:pPr>
      <w:r>
        <w:t xml:space="preserve">Для оценки семантического поиска сформирован набор из 12 тестовых запросов: 10 релевантных (ожидаемый результат известен) и 2 заведомо нерелевантных («тонировка стёкла», «межпланетный корабль»). Запросы разделены на две группы: на английском языке (соответствует языку каталога) и на русском языке (кросс-языковой сценарий).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P@1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spoiler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GT WING SPOILER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rear wing carbon spoiler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GT WING SPOILER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 wing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GT WING SPOILER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0,651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wheels rims sport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volk_racing_1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 rims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volk_racing_1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volk racing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volk_racing_1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headlights audi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audi_a4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антикрыло спойлер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GT WING SPOILER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колёса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volk_racing_1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фары ауди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audi_a4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тонировка стёкла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(нет)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межпланетный корабль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(нет)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a8"/>
      </w:pPr>
      <w:r>
        <w:t xml:space="preserve">По результатам тестирования: Precision@1 для англоязычных запросов составила</w:t>
      </w:r>
      <w:r>
        <w:t xml:space="preserve"> </w:t>
      </w:r>
      <w:r>
        <w:rPr>
          <w:b/>
          <w:bCs/>
        </w:rPr>
        <w:t xml:space="preserve">0,70</w:t>
      </w:r>
      <w:r>
        <w:t xml:space="preserve">, Precision@3 —</w:t>
      </w:r>
      <w:r>
        <w:t xml:space="preserve"> </w:t>
      </w:r>
      <w:r>
        <w:rPr>
          <w:b/>
          <w:bCs/>
        </w:rPr>
        <w:t xml:space="preserve">0,70</w:t>
      </w:r>
      <w:r>
        <w:t xml:space="preserve">. Среднее время ответа поискового эндпоинта —</w:t>
      </w:r>
      <w:r>
        <w:t xml:space="preserve"> </w:t>
      </w:r>
      <w:r>
        <w:rPr>
          <w:b/>
          <w:bCs/>
        </w:rPr>
        <w:t xml:space="preserve">25 мс</w:t>
      </w:r>
      <w:r>
        <w:t xml:space="preserve">. Оценки релевантности для найденных деталей варьировались от 0,538 до 0,814, что соответствует семантически близким совпадениям.</w:t>
      </w:r>
    </w:p>
    <w:p>
      <w:pPr>
        <w:pStyle w:val="a8"/>
      </w:pPr>
      <w:r>
        <w:t xml:space="preserve">Для русскоязычных запросов Precision@1 составила</w:t>
      </w:r>
      <w:r>
        <w:t xml:space="preserve"> </w:t>
      </w:r>
      <w:r>
        <w:rPr>
          <w:b/>
          <w:bCs/>
        </w:rPr>
        <w:t xml:space="preserve">0,00</w:t>
      </w:r>
      <w:r>
        <w:t xml:space="preserve"> </w:t>
      </w:r>
      <w:r>
        <w:t xml:space="preserve">— все три запроса вернули пустой результат. Анализ сырых оценок косинусного сходства показал, что проблема заключается не в отсутствии семантического понимания, а в недостаточности оценок для преодоления порога 0,4. Так, запрос «диски колёса» получил оценку 0,21 для детали</w:t>
      </w:r>
      <w:r>
        <w:t xml:space="preserve"> </w:t>
      </w:r>
      <w:r>
        <w:rPr>
          <w:rStyle w:val="VerbatimChar"/>
        </w:rPr>
        <w:t xml:space="preserve">volk_racing_1</w:t>
      </w:r>
      <w:r>
        <w:t xml:space="preserve"> </w:t>
      </w:r>
      <w:r>
        <w:t xml:space="preserve">— модель корректно определила семантическую близость, однако значение оказалось вдвое ниже порогового. Для запроса «фары ауди» оценка не превысила 0,20, «антикрыло спойлер» — аналогично.</w:t>
      </w:r>
    </w:p>
    <w:p>
      <w:pPr>
        <w:pStyle w:val="a8"/>
      </w:pPr>
      <w:r>
        <w:t xml:space="preserve">Это характерное ограничение кросс-языкового режима модели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: в рамках одного языка оценки для релевантных пар составляют 0,54–0,81; при кросс-языковом сопоставлении (русский запрос — английский каталог) те же семантически близкие пары дают 0,21 и ниже. Порог 0,4 оптимален для одноязычного поиска, но отсекает релевантные результаты в кросс-языковом сценарии.</w:t>
      </w:r>
    </w:p>
    <w:p>
      <w:pPr>
        <w:pStyle w:val="a8"/>
      </w:pPr>
      <w:r>
        <w:t xml:space="preserve">Для устранения этого ограничения рекомендуется одно из двух решений: снизить порог до 0,25–0,30 при добавлении русскоязычных описаний в каталог, либо заменить модель на специализированную многоязычную, например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, которая обучалась на параллельных корпусах и обеспечивает более высокие оценки при кросс-языковом поиске.</w:t>
      </w:r>
    </w:p>
    <w:p>
      <w:pPr>
        <w:pStyle w:val="a8"/>
      </w:pPr>
      <w:r>
        <w:t xml:space="preserve">Нерелевантные запросы («тонировка стёкла», «межпланетный корабль») корректно возвращали пустой результат, что подтверждает правильность выбранного порогового значения для фильтрации шума.</w:t>
      </w:r>
    </w:p>
    <w:bookmarkEnd w:id="15"/>
    <w:bookmarkStart w:id="16" w:name="оценка-качества-сегментации"/>
    <w:p>
      <w:pPr>
        <w:pStyle w:val="3"/>
      </w:pPr>
      <w:r>
        <w:t xml:space="preserve">3.6.3. Оценка качества сегментации</w:t>
      </w:r>
    </w:p>
    <w:p>
      <w:pPr>
        <w:pStyle w:val="FirstParagraph"/>
      </w:pPr>
      <w:r>
        <w:t xml:space="preserve">Для оценки сегментации рассмотрены маски, сгенерированные пайплайном GroundingDINO → SAM 2 в ходе реальных сессий. Анализ показал выраженную зависимость качества сегментации от семантической чёткости целевой области.</w:t>
      </w:r>
    </w:p>
    <w:p>
      <w:pPr>
        <w:pStyle w:val="a8"/>
      </w:pPr>
      <w:r>
        <w:rPr>
          <w:b/>
          <w:bCs/>
        </w:rPr>
        <w:t xml:space="preserve">Сегментация дисков</w:t>
      </w:r>
      <w:r>
        <w:t xml:space="preserve"> </w:t>
      </w:r>
      <w:r>
        <w:t xml:space="preserve">(текстовый запрос:</w:t>
      </w:r>
      <w:r>
        <w:t xml:space="preserve"> </w:t>
      </w:r>
      <w:r>
        <w:rPr>
          <w:rStyle w:val="VerbatimChar"/>
        </w:rPr>
        <w:t xml:space="preserve">"wheel disc area"</w:t>
      </w:r>
      <w:r>
        <w:t xml:space="preserve">): GroundingDINO корректно локализовал три видимых колеса автомобиля, SAM 2 построил точные маски с чёткими границами по контуру каждого диска. Результат соответствует задаче — область редактирования ограничена исключительно колёсами без захвата кузова или фона.</w:t>
      </w:r>
    </w:p>
    <w:p>
      <w:pPr>
        <w:pStyle w:val="a8"/>
      </w:pPr>
      <w:r>
        <w:rPr>
          <w:b/>
          <w:bCs/>
        </w:rPr>
        <w:t xml:space="preserve">Сегментация зоны спойлера</w:t>
      </w:r>
      <w:r>
        <w:t xml:space="preserve"> </w:t>
      </w:r>
      <w:r>
        <w:t xml:space="preserve">(текстовый запрос:</w:t>
      </w:r>
      <w:r>
        <w:t xml:space="preserve"> </w:t>
      </w:r>
      <w:r>
        <w:rPr>
          <w:rStyle w:val="VerbatimChar"/>
        </w:rPr>
        <w:t xml:space="preserve">"rear trunk spoiler area"</w:t>
      </w:r>
      <w:r>
        <w:t xml:space="preserve">): GroundingDINO вернул bounding box, охватывающий весь кузов автомобиля, а не только зону крышки багажника. SAM 2 построил маску всего автомобиля. Несмотря на избыточность маски, результирующее изображение оказалось приемлемым: FLUX.2 Pro, получив маску всего кузова и референсное изображение детали, корректно локализовал установку спойлера на крыше благодаря явному указанию ролей изображений в промпте.</w:t>
      </w:r>
    </w:p>
    <w:p>
      <w:pPr>
        <w:pStyle w:val="a8"/>
      </w:pPr>
      <w:r>
        <w:t xml:space="preserve">Данное наблюдение выявляет ограничение системы: для объектов с выраженными визуальными границами (колёса, фары) сегментация работает точно, тогда как для абстрактных зон применения (крышка багажника, область порогов) детектор склонен к избыточному захвату. В таких случаях качество финального результата обеспечивается не точностью маски, а семантическим пониманием FLUX.2 Pro контекста задачи.</w:t>
      </w:r>
    </w:p>
    <w:bookmarkEnd w:id="16"/>
    <w:bookmarkStart w:id="17" w:name="оценка-качества-генерации-clip-score"/>
    <w:p>
      <w:pPr>
        <w:pStyle w:val="3"/>
      </w:pPr>
      <w:r>
        <w:t xml:space="preserve">3.6.4. Оценка качества генерации (CLIP Score)</w:t>
      </w:r>
    </w:p>
    <w:p>
      <w:pPr>
        <w:pStyle w:val="FirstParagraph"/>
      </w:pPr>
      <w:r>
        <w:t xml:space="preserve">CLIP Score вычислялся как косинусное сходство между эмбеддингами результирующего изображения и описательного промпта, кодируемыми моделью CLIP ViT-B/32. Оценивались 5 изображений из 3 сценариев: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Промпт оценки</w:t>
            </w:r>
          </w:p>
        </w:tc>
        <w:tc>
          <w:tcPr/>
          <w:p>
            <w:pPr>
              <w:pStyle w:val="Compact"/>
            </w:pPr>
            <w:r>
              <w:t xml:space="preserve">CLIP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 wing spoiler</w:t>
            </w:r>
          </w:p>
        </w:tc>
        <w:tc>
          <w:tcPr/>
          <w:p>
            <w:pPr>
              <w:pStyle w:val="Compact"/>
            </w:pPr>
            <w:r>
              <w:t xml:space="preserve">a car with GT wing spoiler on the trunk</w:t>
            </w:r>
          </w:p>
        </w:tc>
        <w:tc>
          <w:tcPr/>
          <w:p>
            <w:pPr>
              <w:pStyle w:val="Compact"/>
            </w:pPr>
            <w:r>
              <w:t xml:space="preserve">0,1860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Volk Racing (сессия 1)</w:t>
            </w:r>
          </w:p>
        </w:tc>
        <w:tc>
          <w:tcPr/>
          <w:p>
            <w:pPr>
              <w:pStyle w:val="Compact"/>
            </w:pPr>
            <w:r>
              <w:t xml:space="preserve">a car with Volk Racing sport wheels</w:t>
            </w:r>
          </w:p>
        </w:tc>
        <w:tc>
          <w:tcPr/>
          <w:p>
            <w:pPr>
              <w:pStyle w:val="Compact"/>
            </w:pPr>
            <w:r>
              <w:t xml:space="preserve">0,2197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Volk Racing (сессия 2)</w:t>
            </w:r>
          </w:p>
        </w:tc>
        <w:tc>
          <w:tcPr/>
          <w:p>
            <w:pPr>
              <w:pStyle w:val="Compact"/>
            </w:pPr>
            <w:r>
              <w:t xml:space="preserve">a car with Volk Racing sport wheels</w:t>
            </w:r>
          </w:p>
        </w:tc>
        <w:tc>
          <w:tcPr/>
          <w:p>
            <w:pPr>
              <w:pStyle w:val="Compact"/>
            </w:pPr>
            <w:r>
              <w:t xml:space="preserve">0,2246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Volk Racing (сессия 3)</w:t>
            </w:r>
          </w:p>
        </w:tc>
        <w:tc>
          <w:tcPr/>
          <w:p>
            <w:pPr>
              <w:pStyle w:val="Compact"/>
            </w:pPr>
            <w:r>
              <w:t xml:space="preserve">a car with Volk Racing sport wheels</w:t>
            </w:r>
          </w:p>
        </w:tc>
        <w:tc>
          <w:tcPr/>
          <w:p>
            <w:pPr>
              <w:pStyle w:val="Compact"/>
            </w:pPr>
            <w:r>
              <w:t xml:space="preserve">0,2256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Replay Audi A57</w:t>
            </w:r>
          </w:p>
        </w:tc>
        <w:tc>
          <w:tcPr/>
          <w:p>
            <w:pPr>
              <w:pStyle w:val="Compact"/>
            </w:pPr>
            <w:r>
              <w:t xml:space="preserve">a car with Replay Audi A57 alloy wheels</w:t>
            </w:r>
          </w:p>
        </w:tc>
        <w:tc>
          <w:tcPr/>
          <w:p>
            <w:pPr>
              <w:pStyle w:val="Compact"/>
            </w:pPr>
            <w:r>
              <w:t xml:space="preserve">0,1215</w:t>
            </w:r>
          </w:p>
        </w:tc>
      </w:tr>
    </w:tbl>
    <w:p>
      <w:pPr>
        <w:pStyle w:val="a8"/>
      </w:pPr>
      <w:r>
        <w:t xml:space="preserve">Средний CLIP Score по тестовой выборке составил</w:t>
      </w:r>
      <w:r>
        <w:t xml:space="preserve"> </w:t>
      </w:r>
      <w:r>
        <w:rPr>
          <w:b/>
          <w:bCs/>
        </w:rPr>
        <w:t xml:space="preserve">0,1955</w:t>
      </w:r>
      <w:r>
        <w:t xml:space="preserve"> </w:t>
      </w:r>
      <w:r>
        <w:t xml:space="preserve">(диапазон: 0,1215–0,2256). Наилучший результат показал сценарий замены дисков Volk Racing (0,222–0,226), что объясняется хорошей различимостью спортивных дисков в пространстве признаков CLIP. Наименьший результат — для дисков Replay Audi A57 (0,1215): тонкие визуальные отличия между оригинальными и заменёнными многоспицевыми дисками слабо отражаются в CLIP-эмбеддингах, поскольку общая сцена (автомобиль на белом фоне) остаётся неизменной.</w:t>
      </w:r>
    </w:p>
    <w:p>
      <w:pPr>
        <w:pStyle w:val="a8"/>
      </w:pPr>
      <w:r>
        <w:t xml:space="preserve">Полученные значения CLIP Score находятся в диапазоне, характерном для задач тонкого редактирования изображений (0,15–0,25), где изменяется только локальный элемент сцены. Стандартный CLIP не оптимизирован для оценки подобных задач — он лучше различает глобальные изменения стиля, чем замену отдельной детали. Тем не менее стабильность результатов (три независимых запуска для Volk Racing дали 0,2197–0,2256) свидетельствует о воспроизводимости системы.</w:t>
      </w:r>
    </w:p>
    <w:bookmarkEnd w:id="17"/>
    <w:bookmarkStart w:id="18" w:name="статистика-надёжности-пайплайна"/>
    <w:p>
      <w:pPr>
        <w:pStyle w:val="3"/>
      </w:pPr>
      <w:r>
        <w:t xml:space="preserve">3.6.5. Статистика надёжности пайплайна</w:t>
      </w:r>
    </w:p>
    <w:p>
      <w:pPr>
        <w:pStyle w:val="FirstParagraph"/>
      </w:pPr>
      <w:r>
        <w:t xml:space="preserve">За период тестирования система обработала 73 сессии. Распределение по статусам и результатам приведено в таблице.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сессий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Завершено успешно (status=complete)</w:t>
            </w:r>
          </w:p>
        </w:tc>
        <w:tc>
          <w:tcPr/>
          <w:p>
            <w:pPr>
              <w:pStyle w:val="Compact"/>
            </w:pPr>
            <w:r>
              <w:t xml:space="preserve">69 (94,5%)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Завершено с ошибкой (status=failed)</w:t>
            </w:r>
          </w:p>
        </w:tc>
        <w:tc>
          <w:tcPr/>
          <w:p>
            <w:pPr>
              <w:pStyle w:val="Compact"/>
            </w:pPr>
            <w:r>
              <w:t xml:space="preserve">2 (2,7%)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Сессий с результирующим изображением</w:t>
            </w:r>
          </w:p>
        </w:tc>
        <w:tc>
          <w:tcPr/>
          <w:p>
            <w:pPr>
              <w:pStyle w:val="Compact"/>
            </w:pPr>
            <w:r>
              <w:t xml:space="preserve">41 (56,2%)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Уникальных пользовательских запросов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Событий в типичной успешной сессии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a8"/>
      </w:pPr>
      <w:r>
        <w:t xml:space="preserve">Разрыв между долей завершённых сессий (94,5%) и долей сессий с изображением (56,2%) объясняется двумя причинами: во-первых, часть сессий завершалась корректным сообщением агента об отсутствии подходящей детали в каталоге (без генерации изображения); во-вторых, часть ранних сессий выполнялась в режиме заглушки без подключённого провайдера генерации.</w:t>
      </w:r>
    </w:p>
    <w:p>
      <w:pPr>
        <w:pStyle w:val="a8"/>
      </w:pPr>
      <w:r>
        <w:t xml:space="preserve">Типичная успешная сессия содержит ровно 8 событий: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tool_call(search_parts)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tool_result(search_parts)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tool_call(segment_object)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tool_result(segment_object)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tool_call(generate_image)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tool_result(generate_image)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. Это соответствует проектному описанию трёхшагового ReAct-пайплайна.</w:t>
      </w:r>
    </w:p>
    <w:p>
      <w:pPr>
        <w:pStyle w:val="a8"/>
      </w:pPr>
      <w:r>
        <w:t xml:space="preserve"> </w:t>
      </w:r>
    </w:p>
    <w:bookmarkEnd w:id="18"/>
    <w:bookmarkEnd w:id="19"/>
    <w:bookmarkStart w:id="20" w:name="выводы-по-главе"/>
    <w:p>
      <w:pPr>
        <w:pStyle w:val="2"/>
      </w:pPr>
      <w:r>
        <w:t xml:space="preserve">3.7. Выводы по главе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В ходе реализации системы были применены следующие ключевые технические решения:</w:t>
      </w:r>
    </w:p>
    <w:p>
      <w:pPr>
        <w:pStyle w:val="MyNumberedList"/>
      </w:pPr>
      <w:r>
        <w:t xml:space="preserve">Паттерн</w:t>
      </w:r>
      <w:r>
        <w:t xml:space="preserve"> </w:t>
      </w:r>
      <w:r>
        <w:rPr>
          <w:rStyle w:val="VerbatimChar"/>
        </w:rPr>
        <w:t xml:space="preserve">lru_cache + run_in_executor</w:t>
      </w:r>
      <w:r>
        <w:t xml:space="preserve"> </w:t>
      </w:r>
      <w:r>
        <w:t xml:space="preserve">унифицирован для всех ML-моделей (rembg/U2Net, sentence-transformers, SAM 2, GroundingDINO). Это обеспечивает однократную инициализацию модели в памяти процесса и неблокирующее выполнение тяжёлых вычислений в асинхронном сервисе — event loop FastAPI остаётся доступным для обслуживания других запросов во время работы модели.</w:t>
      </w:r>
    </w:p>
    <w:p>
      <w:pPr>
        <w:pStyle w:val="MyNumberedList"/>
      </w:pPr>
      <w:r>
        <w:t xml:space="preserve">Сегментационный пайплайн GroundingDINO → SAM 2 реализован с поддержкой множественных bounding box’ов и объединением частных масок через поэлементный максимум. Предзагрузка моделей при старте воркера в строго определённом порядке исключает конфликты инициализации</w:t>
      </w:r>
      <w:r>
        <w:t xml:space="preserve"> </w:t>
      </w:r>
      <w:r>
        <w:rPr>
          <w:rStyle w:val="VerbatimChar"/>
        </w:rPr>
        <w:t xml:space="preserve">torch.jit</w:t>
      </w:r>
      <w:r>
        <w:t xml:space="preserve">. Заглушка-синглтон позволяет разрабатывать и тестировать систему в целом без GPU-инфраструктуры.</w:t>
      </w:r>
    </w:p>
    <w:p>
      <w:pPr>
        <w:pStyle w:val="MyNumberedList"/>
      </w:pPr>
      <w:r>
        <w:t xml:space="preserve">Системный промпт агента содержит конкретный запрет с примером, предотвращающий добавление языковой моделью визуальных деталей из обучающих данных. Это обеспечивает точное соответствие промпта генерации реальному изображению детали из каталога. Поддержка трёх LLM-провайдеров (OpenAI, Anthropic, OpenAI-совместимый) реализована через единую фабрику без изменения кода агента.</w:t>
      </w:r>
    </w:p>
    <w:p>
      <w:pPr>
        <w:pStyle w:val="MyNumberedList"/>
      </w:pPr>
      <w:r>
        <w:t xml:space="preserve">Протокол</w:t>
      </w:r>
      <w:r>
        <w:t xml:space="preserve"> </w:t>
      </w:r>
      <w:r>
        <w:rPr>
          <w:rStyle w:val="VerbatimChar"/>
        </w:rPr>
        <w:t xml:space="preserve">InpaintProvider</w:t>
      </w:r>
      <w:r>
        <w:t xml:space="preserve"> </w:t>
      </w:r>
      <w:r>
        <w:t xml:space="preserve">на базе Python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позволяет подключать новые провайдеры генерации без наследования и без изменения кода агента. Специфика FLUX.2 Pro — явная нумерация ролей изображений в промпте и параллельная генерация вариантов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с различными seed — обеспечивает максимальное качество и разнообразие результатов.</w:t>
      </w:r>
    </w:p>
    <w:p>
      <w:pPr>
        <w:pStyle w:val="MyNumberedList"/>
      </w:pPr>
      <w:r>
        <w:t xml:space="preserve">SSE-стриминг реализован через опрос базы данных с интервалом 0.5 секунды, что не требует постоянного соединения между воркером и API-процессом. Такой подход упрощает горизонтальное масштабирование: несколько экземпляров API могут параллельно обслуживать стримы разных сессий, читая данные из общей БД.</w:t>
      </w:r>
    </w:p>
    <w:p>
      <w:pPr>
        <w:pStyle w:val="a8"/>
      </w:pPr>
      <w:r>
        <w:t xml:space="preserve"> </w:t>
      </w:r>
    </w:p>
    <w:bookmarkEnd w:id="20"/>
    <w:bookmarkEnd w:id="21"/>
    <w:sectPr w:rsidR="00CD7863" w:rsidRPr="005F4612" w:rsidSect="005F4612">
      <w:footnotePr>
        <w:numRestart w:val="eachSect"/>
      </w:footnotePr>
      <w:pgSz w:h="15840" w:w="12240"/>
      <w:pgMar w:bottom="1134" w:footer="720" w:gutter="0" w:header="720" w:left="1701" w:right="850" w:top="113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firstLine="709" w:left="0"/>
      </w:pPr>
      <w:rPr>
        <w:rFonts w:hint="default"/>
      </w:rPr>
    </w:lvl>
  </w:abstractNum>
  <w:abstractNum w15:restartNumberingAfterBreak="0" w:abstractNumId="1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firstLine="709" w:left="0"/>
      </w:pPr>
      <w:rPr>
        <w:rFonts w:ascii="Symbol" w:hAnsi="Symbol" w:hint="default"/>
      </w:rPr>
    </w:lvl>
  </w:abstractNum>
  <w:abstractNum w15:restartNumberingAfterBreak="0" w:abstractNumId="2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023E2E26"/>
    <w:multiLevelType w:val="multilevel"/>
    <w:tmpl w:val="756E7DC0"/>
    <w:lvl w:ilvl="0">
      <w:start w:val="1"/>
      <w:numFmt w:val="decimal"/>
      <w:pStyle w:val="1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5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hanging="360" w:left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hanging="360" w:left="1155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hanging="180" w:left="1875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hanging="360" w:left="2595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hanging="360" w:left="3315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hanging="180" w:left="4035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hanging="360" w:left="4755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hanging="360" w:left="5475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hanging="180" w:left="6195"/>
      </w:pPr>
      <w:rPr>
        <w:rFonts w:cs="Times New Roman"/>
      </w:rPr>
    </w:lvl>
  </w:abstractNum>
  <w:abstractNum w15:restartNumberingAfterBreak="0" w:abstractNumId="7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1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12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2" w:left="1152"/>
      </w:pPr>
      <w:rPr>
        <w:rFonts w:hint="default"/>
      </w:rPr>
    </w:lvl>
    <w:lvl w:ilvl="2">
      <w:start w:val="1"/>
      <w:numFmt w:val="decimal"/>
      <w:lvlText w:val="%1.1.1"/>
      <w:lvlJc w:val="left"/>
      <w:pPr>
        <w:ind w:hanging="504" w:left="15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648" w:left="20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5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30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6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410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680"/>
      </w:pPr>
      <w:rPr>
        <w:rFonts w:hint="default"/>
      </w:rPr>
    </w:lvl>
  </w:abstractNum>
  <w:abstractNum w15:restartNumberingAfterBreak="0" w:abstractNumId="13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hanging="360" w:left="360"/>
      </w:pPr>
      <w:rPr>
        <w:rFonts w:hint="default"/>
        <w:b w:val="0"/>
      </w:rPr>
    </w:lvl>
    <w:lvl w:ilvl="1" w:tentative="1" w:tplc="04190019">
      <w:start w:val="1"/>
      <w:numFmt w:val="lowerLetter"/>
      <w:lvlText w:val="%2."/>
      <w:lvlJc w:val="left"/>
      <w:pPr>
        <w:ind w:hanging="360" w:left="1155"/>
      </w:pPr>
    </w:lvl>
    <w:lvl w:ilvl="2" w:tentative="1" w:tplc="0419001B">
      <w:start w:val="1"/>
      <w:numFmt w:val="lowerRoman"/>
      <w:lvlText w:val="%3."/>
      <w:lvlJc w:val="right"/>
      <w:pPr>
        <w:ind w:hanging="180" w:left="1875"/>
      </w:pPr>
    </w:lvl>
    <w:lvl w:ilvl="3" w:tentative="1" w:tplc="0419000F">
      <w:start w:val="1"/>
      <w:numFmt w:val="decimal"/>
      <w:lvlText w:val="%4."/>
      <w:lvlJc w:val="left"/>
      <w:pPr>
        <w:ind w:hanging="360" w:left="2595"/>
      </w:pPr>
    </w:lvl>
    <w:lvl w:ilvl="4" w:tentative="1" w:tplc="04190019">
      <w:start w:val="1"/>
      <w:numFmt w:val="lowerLetter"/>
      <w:lvlText w:val="%5."/>
      <w:lvlJc w:val="left"/>
      <w:pPr>
        <w:ind w:hanging="360" w:left="3315"/>
      </w:pPr>
    </w:lvl>
    <w:lvl w:ilvl="5" w:tentative="1" w:tplc="0419001B">
      <w:start w:val="1"/>
      <w:numFmt w:val="lowerRoman"/>
      <w:lvlText w:val="%6."/>
      <w:lvlJc w:val="right"/>
      <w:pPr>
        <w:ind w:hanging="180" w:left="4035"/>
      </w:pPr>
    </w:lvl>
    <w:lvl w:ilvl="6" w:tentative="1" w:tplc="0419000F">
      <w:start w:val="1"/>
      <w:numFmt w:val="decimal"/>
      <w:lvlText w:val="%7."/>
      <w:lvlJc w:val="left"/>
      <w:pPr>
        <w:ind w:hanging="360" w:left="4755"/>
      </w:pPr>
    </w:lvl>
    <w:lvl w:ilvl="7" w:tentative="1" w:tplc="04190019">
      <w:start w:val="1"/>
      <w:numFmt w:val="lowerLetter"/>
      <w:lvlText w:val="%8."/>
      <w:lvlJc w:val="left"/>
      <w:pPr>
        <w:ind w:hanging="360" w:left="5475"/>
      </w:pPr>
    </w:lvl>
    <w:lvl w:ilvl="8" w:tentative="1" w:tplc="0419001B">
      <w:start w:val="1"/>
      <w:numFmt w:val="lowerRoman"/>
      <w:lvlText w:val="%9."/>
      <w:lvlJc w:val="right"/>
      <w:pPr>
        <w:ind w:hanging="180" w:left="6195"/>
      </w:pPr>
    </w:lvl>
  </w:abstractNum>
  <w:abstractNum w15:restartNumberingAfterBreak="0" w:abstractNumId="16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23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25">
    <w:nsid w:val="55932054"/>
    <w:multiLevelType w:val="multilevel"/>
    <w:tmpl w:val="9A4CBAF8"/>
    <w:numStyleLink w:val="30"/>
  </w:abstractNum>
  <w:abstractNum w15:restartNumberingAfterBreak="0" w:abstractNumId="26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613E425B"/>
    <w:multiLevelType w:val="multilevel"/>
    <w:tmpl w:val="9A4CBAF8"/>
    <w:numStyleLink w:val="30"/>
  </w:abstractNum>
  <w:abstractNum w15:restartNumberingAfterBreak="0" w:abstractNumId="28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hanging="360" w:left="1068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29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firstLine="709" w:left="0"/>
      </w:pPr>
      <w:rPr>
        <w:rFonts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4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2" w:left="1152"/>
      </w:pPr>
      <w:rPr>
        <w:rFonts w:hint="default"/>
      </w:rPr>
    </w:lvl>
    <w:lvl w:ilvl="2">
      <w:start w:val="1"/>
      <w:numFmt w:val="decimal"/>
      <w:lvlText w:val="%1.1.1"/>
      <w:lvlJc w:val="left"/>
      <w:pPr>
        <w:ind w:hanging="504" w:left="15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648" w:left="20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5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30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6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410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680"/>
      </w:pPr>
      <w:rPr>
        <w:rFonts w:hint="default"/>
      </w:rPr>
    </w:lvl>
  </w:abstractNum>
  <w:abstractNum w15:restartNumberingAfterBreak="0" w:abstractNumId="35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11586789" w:numId="1">
    <w:abstractNumId w:val="6"/>
  </w:num>
  <w:num w16cid:durableId="1303848704" w:numId="2">
    <w:abstractNumId w:val="15"/>
  </w:num>
  <w:num w16cid:durableId="927690624" w:numId="3">
    <w:abstractNumId w:val="3"/>
  </w:num>
  <w:num w16cid:durableId="2121102890" w:numId="4">
    <w:abstractNumId w:val="34"/>
  </w:num>
  <w:num w16cid:durableId="125204955" w:numId="5">
    <w:abstractNumId w:val="13"/>
  </w:num>
  <w:num w16cid:durableId="1449466230" w:numId="6">
    <w:abstractNumId w:val="33"/>
  </w:num>
  <w:num w16cid:durableId="869417631" w:numId="7">
    <w:abstractNumId w:val="4"/>
  </w:num>
  <w:num w16cid:durableId="515851961" w:numId="8">
    <w:abstractNumId w:val="12"/>
  </w:num>
  <w:num w16cid:durableId="48966994" w:numId="9">
    <w:abstractNumId w:val="11"/>
  </w:num>
  <w:num w16cid:durableId="479075315" w:numId="10">
    <w:abstractNumId w:val="9"/>
  </w:num>
  <w:num w16cid:durableId="150685264" w:numId="11">
    <w:abstractNumId w:val="22"/>
  </w:num>
  <w:num w16cid:durableId="2078556087" w:numId="12">
    <w:abstractNumId w:val="24"/>
  </w:num>
  <w:num w16cid:durableId="1599025468" w:numId="13">
    <w:abstractNumId w:val="7"/>
  </w:num>
  <w:num w16cid:durableId="1288775344" w:numId="14">
    <w:abstractNumId w:val="31"/>
  </w:num>
  <w:num w16cid:durableId="767972235" w:numId="15">
    <w:abstractNumId w:val="23"/>
  </w:num>
  <w:num w16cid:durableId="769200443" w:numId="16">
    <w:abstractNumId w:val="16"/>
  </w:num>
  <w:num w16cid:durableId="732392858" w:numId="17">
    <w:abstractNumId w:val="29"/>
  </w:num>
  <w:num w16cid:durableId="644359216" w:numId="18">
    <w:abstractNumId w:val="14"/>
  </w:num>
  <w:num w16cid:durableId="2123262776" w:numId="19">
    <w:abstractNumId w:val="26"/>
  </w:num>
  <w:num w16cid:durableId="1835801317" w:numId="20">
    <w:abstractNumId w:val="32"/>
  </w:num>
  <w:num w16cid:durableId="1040205815" w:numId="21">
    <w:abstractNumId w:val="17"/>
  </w:num>
  <w:num w16cid:durableId="1095131111" w:numId="22">
    <w:abstractNumId w:val="21"/>
  </w:num>
  <w:num w16cid:durableId="1310327158" w:numId="23">
    <w:abstractNumId w:val="35"/>
  </w:num>
  <w:num w16cid:durableId="284312520" w:numId="24">
    <w:abstractNumId w:val="10"/>
  </w:num>
  <w:num w16cid:durableId="972709627" w:numId="25">
    <w:abstractNumId w:val="8"/>
  </w:num>
  <w:num w16cid:durableId="1601065978" w:numId="26">
    <w:abstractNumId w:val="2"/>
  </w:num>
  <w:num w16cid:durableId="580678458" w:numId="27">
    <w:abstractNumId w:val="18"/>
  </w:num>
  <w:num w16cid:durableId="1855193182" w:numId="28">
    <w:abstractNumId w:val="19"/>
  </w:num>
  <w:num w16cid:durableId="412169118" w:numId="29">
    <w:abstractNumId w:val="28"/>
  </w:num>
  <w:num w16cid:durableId="1251769178" w:numId="30">
    <w:abstractNumId w:val="30"/>
  </w:num>
  <w:num w16cid:durableId="2131511507" w:numId="31">
    <w:abstractNumId w:val="5"/>
  </w:num>
  <w:num w16cid:durableId="1797794376" w:numId="32">
    <w:abstractNumId w:val="20"/>
  </w:num>
  <w:num w16cid:durableId="1693799977" w:numId="33">
    <w:abstractNumId w:val="0"/>
  </w:num>
  <w:num w16cid:durableId="1279680115" w:numId="34">
    <w:abstractNumId w:val="1"/>
  </w:num>
  <w:num w16cid:durableId="1793162807" w:numId="35">
    <w:abstractNumId w:val="27"/>
  </w:num>
  <w:num w16cid:durableId="1107196247" w:numId="36">
    <w:abstractNumId w:val="2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633C0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15A1D"/>
    <w:rsid w:val="002D0B3E"/>
    <w:rsid w:val="002F0038"/>
    <w:rsid w:val="002F2226"/>
    <w:rsid w:val="00315ED7"/>
    <w:rsid w:val="00321754"/>
    <w:rsid w:val="00343FA5"/>
    <w:rsid w:val="00344A01"/>
    <w:rsid w:val="00363EB7"/>
    <w:rsid w:val="00370FF2"/>
    <w:rsid w:val="003C5597"/>
    <w:rsid w:val="003F5D20"/>
    <w:rsid w:val="003F65E1"/>
    <w:rsid w:val="004421C3"/>
    <w:rsid w:val="00455053"/>
    <w:rsid w:val="00462225"/>
    <w:rsid w:val="00490147"/>
    <w:rsid w:val="004D05EC"/>
    <w:rsid w:val="0050640E"/>
    <w:rsid w:val="00532201"/>
    <w:rsid w:val="005405A2"/>
    <w:rsid w:val="00546A00"/>
    <w:rsid w:val="005F4612"/>
    <w:rsid w:val="006306F7"/>
    <w:rsid w:val="006A6C54"/>
    <w:rsid w:val="00763D25"/>
    <w:rsid w:val="007747D3"/>
    <w:rsid w:val="007752F4"/>
    <w:rsid w:val="007820EC"/>
    <w:rsid w:val="007836D1"/>
    <w:rsid w:val="007C072A"/>
    <w:rsid w:val="007F77C5"/>
    <w:rsid w:val="00865D22"/>
    <w:rsid w:val="00877B68"/>
    <w:rsid w:val="008E1474"/>
    <w:rsid w:val="008E37DB"/>
    <w:rsid w:val="00932EC5"/>
    <w:rsid w:val="00950912"/>
    <w:rsid w:val="00A0552D"/>
    <w:rsid w:val="00A11F04"/>
    <w:rsid w:val="00A13092"/>
    <w:rsid w:val="00A57F6D"/>
    <w:rsid w:val="00A97F00"/>
    <w:rsid w:val="00AE2D9A"/>
    <w:rsid w:val="00B33317"/>
    <w:rsid w:val="00B603DF"/>
    <w:rsid w:val="00B671FE"/>
    <w:rsid w:val="00B67E4C"/>
    <w:rsid w:val="00B969AD"/>
    <w:rsid w:val="00BC0920"/>
    <w:rsid w:val="00BE5268"/>
    <w:rsid w:val="00BE6BAA"/>
    <w:rsid w:val="00C0708E"/>
    <w:rsid w:val="00C24C8A"/>
    <w:rsid w:val="00C27D30"/>
    <w:rsid w:val="00C507ED"/>
    <w:rsid w:val="00C74A15"/>
    <w:rsid w:val="00C921C2"/>
    <w:rsid w:val="00CD582E"/>
    <w:rsid w:val="00CD7863"/>
    <w:rsid w:val="00D24AD8"/>
    <w:rsid w:val="00D864E8"/>
    <w:rsid w:val="00D96B99"/>
    <w:rsid w:val="00DF7B44"/>
    <w:rsid w:val="00E17027"/>
    <w:rsid w:val="00E21030"/>
    <w:rsid w:val="00E3631C"/>
    <w:rsid w:val="00E54D43"/>
    <w:rsid w:val="00E720F4"/>
    <w:rsid w:val="00EB140F"/>
    <w:rsid w:val="00EB4EB1"/>
    <w:rsid w:val="00EC47BC"/>
    <w:rsid w:val="00F926BB"/>
    <w:rsid w:val="00FB2EE4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cs="Times New Roman" w:eastAsia="PMingLiU" w:hAnsi="Times New Roman"/>
      <w:sz w:val="28"/>
    </w:rPr>
  </w:style>
  <w:style w:styleId="1" w:type="paragraph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firstLine="709" w:left="0"/>
      <w:outlineLvl w:val="0"/>
    </w:pPr>
    <w:rPr>
      <w:rFonts w:cstheme="majorBidi" w:eastAsiaTheme="majorEastAsia"/>
      <w:b/>
      <w:szCs w:val="32"/>
    </w:rPr>
  </w:style>
  <w:style w:styleId="2" w:type="paragraph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firstLine="709" w:left="0"/>
      <w:outlineLvl w:val="1"/>
    </w:pPr>
    <w:rPr>
      <w:szCs w:val="26"/>
    </w:rPr>
  </w:style>
  <w:style w:styleId="3" w:type="paragraph">
    <w:name w:val="heading 3"/>
    <w:basedOn w:val="a1"/>
    <w:next w:val="a1"/>
    <w:link w:val="31"/>
    <w:uiPriority w:val="9"/>
    <w:unhideWhenUsed/>
    <w:qFormat/>
    <w:rsid w:val="006306F7"/>
    <w:pPr>
      <w:keepNext/>
      <w:keepLines/>
      <w:numPr>
        <w:ilvl w:val="2"/>
        <w:numId w:val="7"/>
      </w:numPr>
      <w:spacing w:before="40"/>
      <w:outlineLvl w:val="2"/>
    </w:pPr>
    <w:rPr>
      <w:rFonts w:cstheme="majorBidi" w:eastAsiaTheme="majorEastAsia"/>
      <w:b/>
      <w:color w:themeColor="text1" w:val="000000"/>
      <w:szCs w:val="24"/>
    </w:rPr>
  </w:style>
  <w:style w:styleId="4" w:type="paragraph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5" w:type="paragraph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6" w:type="paragraph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7" w:type="paragraph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8" w:type="paragraph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9" w:type="paragraph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Default" w:type="paragraph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PMingLiU" w:hAnsi="Times New Roman"/>
      <w:color w:val="000000"/>
      <w:sz w:val="24"/>
      <w:szCs w:val="24"/>
    </w:rPr>
  </w:style>
  <w:style w:styleId="a5" w:type="paragraph">
    <w:name w:val="List Paragraph"/>
    <w:basedOn w:val="a1"/>
    <w:uiPriority w:val="34"/>
    <w:qFormat/>
    <w:rsid w:val="00455053"/>
    <w:pPr>
      <w:ind w:left="720"/>
      <w:contextualSpacing/>
    </w:pPr>
  </w:style>
  <w:style w:styleId="a6" w:type="table">
    <w:name w:val="Table Grid"/>
    <w:basedOn w:val="a3"/>
    <w:uiPriority w:val="39"/>
    <w:rsid w:val="0045505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Normal" w:type="table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cs="Times New Roman" w:eastAsia="Arial Unicode MS" w:hAnsi="Times New Roman"/>
      <w:sz w:val="20"/>
      <w:szCs w:val="20"/>
      <w:bdr w:val="nil"/>
      <w:lang w:eastAsia="ru-RU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a7" w:type="paragraph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cs="Calibri" w:eastAsia="Calibri" w:hAnsi="Calibri"/>
      <w:color w:val="000000"/>
      <w:u w:color="000000"/>
      <w:bdr w:val="nil"/>
      <w:lang w:eastAsia="ru-RU"/>
    </w:rPr>
  </w:style>
  <w:style w:styleId="a8" w:type="paragraph">
    <w:name w:val="Body Text"/>
    <w:basedOn w:val="a1"/>
    <w:link w:val="a9"/>
    <w:rsid w:val="003F65E1"/>
    <w:rPr>
      <w:lang w:eastAsia="zh-CN"/>
    </w:rPr>
  </w:style>
  <w:style w:customStyle="1" w:styleId="a9" w:type="character">
    <w:name w:val="Основной текст Знак"/>
    <w:basedOn w:val="a2"/>
    <w:link w:val="a8"/>
    <w:rsid w:val="003F65E1"/>
    <w:rPr>
      <w:rFonts w:ascii="Times New Roman" w:cs="Times New Roman" w:eastAsia="PMingLiU" w:hAnsi="Times New Roman"/>
      <w:sz w:val="28"/>
      <w:lang w:eastAsia="zh-CN"/>
    </w:rPr>
  </w:style>
  <w:style w:styleId="aa" w:type="paragraph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ab" w:type="character">
    <w:name w:val="Текст выноски Знак"/>
    <w:basedOn w:val="a2"/>
    <w:link w:val="aa"/>
    <w:uiPriority w:val="99"/>
    <w:semiHidden/>
    <w:rsid w:val="00E54D43"/>
    <w:rPr>
      <w:rFonts w:ascii="Segoe UI" w:cs="Segoe UI" w:eastAsia="PMingLiU" w:hAnsi="Segoe UI"/>
      <w:sz w:val="18"/>
      <w:szCs w:val="18"/>
    </w:rPr>
  </w:style>
  <w:style w:styleId="ac" w:type="paragraph">
    <w:name w:val="Normal (Web)"/>
    <w:basedOn w:val="a1"/>
    <w:rsid w:val="00AE2D9A"/>
    <w:pPr>
      <w:suppressAutoHyphens/>
      <w:spacing w:after="100" w:before="100" w:line="240" w:lineRule="auto"/>
    </w:pPr>
    <w:rPr>
      <w:rFonts w:eastAsia="Times New Roman"/>
      <w:sz w:val="24"/>
      <w:szCs w:val="20"/>
      <w:lang w:eastAsia="ar-SA"/>
    </w:rPr>
  </w:style>
  <w:style w:styleId="ad" w:type="paragraph">
    <w:name w:val="header"/>
    <w:basedOn w:val="a1"/>
    <w:link w:val="ae"/>
    <w:uiPriority w:val="99"/>
    <w:unhideWhenUsed/>
    <w:rsid w:val="006A6C54"/>
    <w:pPr>
      <w:tabs>
        <w:tab w:pos="4677" w:val="center"/>
        <w:tab w:pos="9355" w:val="right"/>
      </w:tabs>
      <w:spacing w:line="240" w:lineRule="auto"/>
    </w:pPr>
  </w:style>
  <w:style w:customStyle="1" w:styleId="ae" w:type="character">
    <w:name w:val="Верхний колонтитул Знак"/>
    <w:basedOn w:val="a2"/>
    <w:link w:val="ad"/>
    <w:uiPriority w:val="99"/>
    <w:rsid w:val="006A6C54"/>
    <w:rPr>
      <w:rFonts w:ascii="Calibri" w:cs="Times New Roman" w:eastAsia="PMingLiU" w:hAnsi="Calibri"/>
    </w:rPr>
  </w:style>
  <w:style w:styleId="af" w:type="paragraph">
    <w:name w:val="footer"/>
    <w:basedOn w:val="a1"/>
    <w:link w:val="af0"/>
    <w:uiPriority w:val="99"/>
    <w:unhideWhenUsed/>
    <w:rsid w:val="006A6C54"/>
    <w:pPr>
      <w:tabs>
        <w:tab w:pos="4677" w:val="center"/>
        <w:tab w:pos="9355" w:val="right"/>
      </w:tabs>
      <w:spacing w:line="240" w:lineRule="auto"/>
    </w:pPr>
  </w:style>
  <w:style w:customStyle="1" w:styleId="af0" w:type="character">
    <w:name w:val="Нижний колонтитул Знак"/>
    <w:basedOn w:val="a2"/>
    <w:link w:val="af"/>
    <w:uiPriority w:val="99"/>
    <w:rsid w:val="006A6C54"/>
    <w:rPr>
      <w:rFonts w:ascii="Calibri" w:cs="Times New Roman" w:eastAsia="PMingLiU" w:hAnsi="Calibri"/>
    </w:rPr>
  </w:style>
  <w:style w:customStyle="1" w:styleId="11" w:type="character">
    <w:name w:val="Заголовок 1 Знак"/>
    <w:basedOn w:val="a2"/>
    <w:link w:val="1"/>
    <w:uiPriority w:val="9"/>
    <w:rsid w:val="000F4098"/>
    <w:rPr>
      <w:rFonts w:ascii="Times New Roman" w:cstheme="majorBidi" w:eastAsiaTheme="majorEastAsia" w:hAnsi="Times New Roman"/>
      <w:b/>
      <w:sz w:val="28"/>
      <w:szCs w:val="32"/>
    </w:rPr>
  </w:style>
  <w:style w:customStyle="1" w:styleId="21" w:type="character">
    <w:name w:val="Заголовок 2 Знак"/>
    <w:basedOn w:val="a2"/>
    <w:link w:val="2"/>
    <w:uiPriority w:val="9"/>
    <w:rsid w:val="000F4098"/>
    <w:rPr>
      <w:rFonts w:ascii="Times New Roman" w:cstheme="majorBidi" w:eastAsiaTheme="majorEastAsia" w:hAnsi="Times New Roman"/>
      <w:b/>
      <w:sz w:val="28"/>
      <w:szCs w:val="26"/>
    </w:rPr>
  </w:style>
  <w:style w:customStyle="1" w:styleId="10" w:type="numbering">
    <w:name w:val="Текущий список1"/>
    <w:uiPriority w:val="99"/>
    <w:rsid w:val="006A6C54"/>
    <w:pPr>
      <w:numPr>
        <w:numId w:val="5"/>
      </w:numPr>
    </w:pPr>
  </w:style>
  <w:style w:customStyle="1" w:styleId="20" w:type="numbering">
    <w:name w:val="Текущий список2"/>
    <w:uiPriority w:val="99"/>
    <w:rsid w:val="006A6C54"/>
    <w:pPr>
      <w:numPr>
        <w:numId w:val="6"/>
      </w:numPr>
    </w:pPr>
  </w:style>
  <w:style w:customStyle="1" w:styleId="30" w:type="numbering">
    <w:name w:val="Текущий список3"/>
    <w:uiPriority w:val="99"/>
    <w:rsid w:val="00EB140F"/>
    <w:pPr>
      <w:numPr>
        <w:numId w:val="8"/>
      </w:numPr>
    </w:pPr>
  </w:style>
  <w:style w:customStyle="1" w:styleId="31" w:type="character">
    <w:name w:val="Заголовок 3 Знак"/>
    <w:basedOn w:val="a2"/>
    <w:link w:val="3"/>
    <w:uiPriority w:val="9"/>
    <w:rsid w:val="006306F7"/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customStyle="1" w:styleId="41" w:type="character">
    <w:name w:val="Заголовок 4 Знак"/>
    <w:basedOn w:val="a2"/>
    <w:link w:val="4"/>
    <w:uiPriority w:val="9"/>
    <w:semiHidden/>
    <w:rsid w:val="00EB140F"/>
    <w:rPr>
      <w:rFonts w:asciiTheme="majorHAnsi" w:cstheme="majorBidi" w:eastAsiaTheme="majorEastAsia" w:hAnsiTheme="majorHAnsi"/>
      <w:i/>
      <w:iCs/>
      <w:color w:themeColor="accent1" w:themeShade="BF" w:val="2E74B5"/>
      <w:sz w:val="28"/>
    </w:rPr>
  </w:style>
  <w:style w:customStyle="1" w:styleId="51" w:type="character">
    <w:name w:val="Заголовок 5 Знак"/>
    <w:basedOn w:val="a2"/>
    <w:link w:val="5"/>
    <w:uiPriority w:val="9"/>
    <w:semiHidden/>
    <w:rsid w:val="00EB140F"/>
    <w:rPr>
      <w:rFonts w:asciiTheme="majorHAnsi" w:cstheme="majorBidi" w:eastAsiaTheme="majorEastAsia" w:hAnsiTheme="majorHAnsi"/>
      <w:color w:themeColor="accent1" w:themeShade="BF" w:val="2E74B5"/>
      <w:sz w:val="28"/>
    </w:rPr>
  </w:style>
  <w:style w:customStyle="1" w:styleId="61" w:type="character">
    <w:name w:val="Заголовок 6 Знак"/>
    <w:basedOn w:val="a2"/>
    <w:link w:val="6"/>
    <w:uiPriority w:val="9"/>
    <w:semiHidden/>
    <w:rsid w:val="00EB140F"/>
    <w:rPr>
      <w:rFonts w:asciiTheme="majorHAnsi" w:cstheme="majorBidi" w:eastAsiaTheme="majorEastAsia" w:hAnsiTheme="majorHAnsi"/>
      <w:color w:themeColor="accent1" w:themeShade="7F" w:val="1F4D78"/>
      <w:sz w:val="28"/>
    </w:rPr>
  </w:style>
  <w:style w:customStyle="1" w:styleId="71" w:type="character">
    <w:name w:val="Заголовок 7 Знак"/>
    <w:basedOn w:val="a2"/>
    <w:link w:val="7"/>
    <w:uiPriority w:val="9"/>
    <w:semiHidden/>
    <w:rsid w:val="00EB140F"/>
    <w:rPr>
      <w:rFonts w:asciiTheme="majorHAnsi" w:cstheme="majorBidi" w:eastAsiaTheme="majorEastAsia" w:hAnsiTheme="majorHAnsi"/>
      <w:i/>
      <w:iCs/>
      <w:color w:themeColor="accent1" w:themeShade="7F" w:val="1F4D78"/>
      <w:sz w:val="28"/>
    </w:rPr>
  </w:style>
  <w:style w:customStyle="1" w:styleId="81" w:type="character">
    <w:name w:val="Заголовок 8 Знак"/>
    <w:basedOn w:val="a2"/>
    <w:link w:val="8"/>
    <w:uiPriority w:val="9"/>
    <w:semiHidden/>
    <w:rsid w:val="00EB140F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91" w:type="character">
    <w:name w:val="Заголовок 9 Знак"/>
    <w:basedOn w:val="a2"/>
    <w:link w:val="9"/>
    <w:uiPriority w:val="9"/>
    <w:semiHidden/>
    <w:rsid w:val="00EB140F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40" w:type="numbering">
    <w:name w:val="Текущий список4"/>
    <w:uiPriority w:val="99"/>
    <w:rsid w:val="00EB140F"/>
    <w:pPr>
      <w:numPr>
        <w:numId w:val="9"/>
      </w:numPr>
    </w:pPr>
  </w:style>
  <w:style w:customStyle="1" w:styleId="50" w:type="numbering">
    <w:name w:val="Текущий список5"/>
    <w:uiPriority w:val="99"/>
    <w:rsid w:val="00EB140F"/>
    <w:pPr>
      <w:numPr>
        <w:numId w:val="10"/>
      </w:numPr>
    </w:pPr>
  </w:style>
  <w:style w:customStyle="1" w:styleId="60" w:type="numbering">
    <w:name w:val="Текущий список6"/>
    <w:uiPriority w:val="99"/>
    <w:rsid w:val="00EB140F"/>
    <w:pPr>
      <w:numPr>
        <w:numId w:val="11"/>
      </w:numPr>
    </w:pPr>
  </w:style>
  <w:style w:customStyle="1" w:styleId="70" w:type="numbering">
    <w:name w:val="Текущий список7"/>
    <w:uiPriority w:val="99"/>
    <w:rsid w:val="00EB140F"/>
    <w:pPr>
      <w:numPr>
        <w:numId w:val="12"/>
      </w:numPr>
    </w:pPr>
  </w:style>
  <w:style w:styleId="af1" w:type="paragraph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themeColor="accent1" w:themeShade="BF" w:val="2E74B5"/>
      <w:szCs w:val="28"/>
      <w:lang w:eastAsia="ru-RU"/>
    </w:rPr>
  </w:style>
  <w:style w:styleId="12" w:type="paragraph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cstheme="minorHAnsi" w:hAnsiTheme="minorHAnsi"/>
      <w:b/>
      <w:bCs/>
      <w:i/>
      <w:iCs/>
      <w:sz w:val="24"/>
      <w:szCs w:val="24"/>
    </w:rPr>
  </w:style>
  <w:style w:styleId="22" w:type="paragraph">
    <w:name w:val="toc 2"/>
    <w:basedOn w:val="a1"/>
    <w:next w:val="a1"/>
    <w:autoRedefine/>
    <w:uiPriority w:val="39"/>
    <w:unhideWhenUsed/>
    <w:rsid w:val="00CD7863"/>
    <w:pPr>
      <w:tabs>
        <w:tab w:pos="522" w:val="left"/>
        <w:tab w:leader="dot" w:pos="9345" w:val="right"/>
      </w:tabs>
      <w:spacing w:before="120"/>
      <w:ind w:left="280"/>
      <w:jc w:val="left"/>
    </w:pPr>
    <w:rPr>
      <w:rFonts w:asciiTheme="minorHAnsi" w:cstheme="minorHAnsi" w:hAnsiTheme="minorHAnsi"/>
      <w:b/>
      <w:bCs/>
      <w:sz w:val="22"/>
    </w:rPr>
  </w:style>
  <w:style w:styleId="af2" w:type="character">
    <w:name w:val="Hyperlink"/>
    <w:basedOn w:val="a2"/>
    <w:uiPriority w:val="99"/>
    <w:unhideWhenUsed/>
    <w:rsid w:val="00EB140F"/>
    <w:rPr>
      <w:color w:themeColor="hyperlink" w:val="0563C1"/>
      <w:u w:val="single"/>
    </w:rPr>
  </w:style>
  <w:style w:styleId="32" w:type="paragraph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cstheme="minorHAnsi" w:hAnsiTheme="minorHAnsi"/>
      <w:sz w:val="20"/>
      <w:szCs w:val="20"/>
    </w:rPr>
  </w:style>
  <w:style w:styleId="42" w:type="paragraph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cstheme="minorHAnsi" w:hAnsiTheme="minorHAnsi"/>
      <w:sz w:val="20"/>
      <w:szCs w:val="20"/>
    </w:rPr>
  </w:style>
  <w:style w:styleId="52" w:type="paragraph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cstheme="minorHAnsi" w:hAnsiTheme="minorHAnsi"/>
      <w:sz w:val="20"/>
      <w:szCs w:val="20"/>
    </w:rPr>
  </w:style>
  <w:style w:styleId="62" w:type="paragraph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cstheme="minorHAnsi" w:hAnsiTheme="minorHAnsi"/>
      <w:sz w:val="20"/>
      <w:szCs w:val="20"/>
    </w:rPr>
  </w:style>
  <w:style w:styleId="72" w:type="paragraph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cstheme="minorHAnsi" w:hAnsiTheme="minorHAnsi"/>
      <w:sz w:val="20"/>
      <w:szCs w:val="20"/>
    </w:rPr>
  </w:style>
  <w:style w:styleId="82" w:type="paragraph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cstheme="minorHAnsi" w:hAnsiTheme="minorHAnsi"/>
      <w:sz w:val="20"/>
      <w:szCs w:val="20"/>
    </w:rPr>
  </w:style>
  <w:style w:styleId="92" w:type="paragraph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cstheme="minorHAnsi" w:hAnsiTheme="minorHAnsi"/>
      <w:sz w:val="20"/>
      <w:szCs w:val="20"/>
    </w:rPr>
  </w:style>
  <w:style w:styleId="af3" w:type="paragraph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cstheme="majorBidi" w:eastAsiaTheme="majorEastAsia"/>
      <w:b/>
      <w:spacing w:val="-10"/>
      <w:kern w:val="28"/>
      <w:szCs w:val="56"/>
    </w:rPr>
  </w:style>
  <w:style w:customStyle="1" w:styleId="af4" w:type="character">
    <w:name w:val="Заголовок Знак"/>
    <w:basedOn w:val="a2"/>
    <w:link w:val="af3"/>
    <w:uiPriority w:val="10"/>
    <w:rsid w:val="00CD7863"/>
    <w:rPr>
      <w:rFonts w:ascii="Times New Roman" w:cstheme="majorBidi" w:eastAsiaTheme="majorEastAsia" w:hAnsi="Times New Roman"/>
      <w:b/>
      <w:spacing w:val="-10"/>
      <w:kern w:val="28"/>
      <w:sz w:val="28"/>
      <w:szCs w:val="56"/>
    </w:rPr>
  </w:style>
  <w:style w:customStyle="1" w:styleId="80" w:type="numbering">
    <w:name w:val="Текущий список8"/>
    <w:uiPriority w:val="99"/>
    <w:rsid w:val="000B1F4B"/>
    <w:pPr>
      <w:numPr>
        <w:numId w:val="21"/>
      </w:numPr>
    </w:pPr>
  </w:style>
  <w:style w:customStyle="1" w:styleId="FirstParagraph" w:type="paragraph">
    <w:name w:val="First Paragraph"/>
    <w:basedOn w:val="a8"/>
    <w:next w:val="a8"/>
    <w:qFormat/>
    <w:rsid w:val="003F65E1"/>
  </w:style>
  <w:style w:customStyle="1" w:styleId="Compact" w:type="paragraph">
    <w:name w:val="Compact"/>
    <w:basedOn w:val="a8"/>
    <w:qFormat/>
    <w:rsid w:val="005F4612"/>
    <w:pPr>
      <w:spacing w:after="36" w:before="36"/>
    </w:pPr>
    <w:rPr>
      <w:rFonts w:asciiTheme="minorHAnsi" w:cstheme="minorBidi" w:eastAsiaTheme="minorEastAsia" w:hAnsiTheme="minorHAnsi"/>
      <w:lang w:val="en-US"/>
    </w:rPr>
  </w:style>
  <w:style w:styleId="af5" w:type="paragraph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eastAsia="zh-CN" w:val="en-US"/>
    </w:rPr>
  </w:style>
  <w:style w:customStyle="1" w:styleId="af6" w:type="character">
    <w:name w:val="Подзаголовок Знак"/>
    <w:basedOn w:val="a2"/>
    <w:link w:val="af5"/>
    <w:uiPriority w:val="11"/>
    <w:rsid w:val="005F4612"/>
    <w:rPr>
      <w:rFonts w:asciiTheme="majorHAnsi" w:cstheme="majorBidi" w:eastAsiaTheme="majorEastAsia" w:hAnsiTheme="majorHAnsi"/>
      <w:spacing w:val="15"/>
      <w:sz w:val="28"/>
      <w:szCs w:val="28"/>
      <w:lang w:eastAsia="zh-CN" w:val="en-US"/>
    </w:rPr>
  </w:style>
  <w:style w:customStyle="1" w:styleId="Author" w:type="paragraph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eastAsia="zh-CN" w:val="en-US"/>
    </w:rPr>
  </w:style>
  <w:style w:styleId="af7" w:type="paragraph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eastAsia="zh-CN" w:val="en-US"/>
    </w:rPr>
  </w:style>
  <w:style w:customStyle="1" w:styleId="af8" w:type="character">
    <w:name w:val="Дата Знак"/>
    <w:basedOn w:val="a2"/>
    <w:link w:val="af7"/>
    <w:rsid w:val="005F4612"/>
    <w:rPr>
      <w:rFonts w:asciiTheme="majorHAnsi" w:cstheme="majorBidi" w:eastAsiaTheme="majorEastAsia" w:hAnsiTheme="majorHAnsi"/>
      <w:sz w:val="24"/>
      <w:szCs w:val="24"/>
      <w:lang w:eastAsia="zh-CN" w:val="en-US"/>
    </w:rPr>
  </w:style>
  <w:style w:customStyle="1" w:styleId="Abstract" w:type="paragraph">
    <w:name w:val="Abstract"/>
    <w:basedOn w:val="a1"/>
    <w:next w:val="a8"/>
    <w:qFormat/>
    <w:rsid w:val="005F4612"/>
    <w:pPr>
      <w:keepNext/>
      <w:keepLines/>
      <w:spacing w:after="300" w:before="100" w:line="240" w:lineRule="auto"/>
      <w:jc w:val="left"/>
    </w:pPr>
    <w:rPr>
      <w:rFonts w:asciiTheme="minorHAnsi" w:cstheme="minorBidi" w:eastAsiaTheme="minorEastAsia" w:hAnsiTheme="minorHAnsi"/>
      <w:sz w:val="20"/>
      <w:szCs w:val="20"/>
      <w:lang w:eastAsia="zh-CN" w:val="en-US"/>
    </w:rPr>
  </w:style>
  <w:style w:styleId="af9" w:type="paragraph">
    <w:name w:val="Block Text"/>
    <w:basedOn w:val="a8"/>
    <w:next w:val="a8"/>
    <w:uiPriority w:val="9"/>
    <w:unhideWhenUsed/>
    <w:qFormat/>
    <w:rsid w:val="005F4612"/>
    <w:pPr>
      <w:spacing w:after="100" w:before="100"/>
      <w:ind w:left="480" w:right="480"/>
    </w:pPr>
    <w:rPr>
      <w:rFonts w:asciiTheme="minorHAnsi" w:cstheme="minorBidi" w:eastAsiaTheme="minorEastAsia" w:hAnsiTheme="minorHAnsi"/>
      <w:lang w:val="en-US"/>
    </w:rPr>
  </w:style>
  <w:style w:styleId="afa" w:type="paragraph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customStyle="1" w:styleId="afb" w:type="character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eastAsia="zh-CN" w:val="en-US"/>
    </w:rPr>
  </w:style>
  <w:style w:customStyle="1" w:styleId="FootnoteBlockText" w:type="paragraph">
    <w:name w:val="Footnote Block Text"/>
    <w:basedOn w:val="afa"/>
    <w:next w:val="afa"/>
    <w:uiPriority w:val="9"/>
    <w:unhideWhenUsed/>
    <w:qFormat/>
    <w:rsid w:val="005F4612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eastAsia="zh-CN"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cstheme="minorBidi" w:eastAsiaTheme="minorEastAsia" w:hAnsiTheme="minorHAnsi"/>
      <w:b/>
      <w:sz w:val="24"/>
      <w:szCs w:val="24"/>
      <w:lang w:eastAsia="zh-CN" w:val="en-US"/>
    </w:rPr>
  </w:style>
  <w:style w:customStyle="1" w:styleId="Definition" w:type="paragraph">
    <w:name w:val="Definition"/>
    <w:basedOn w:val="a1"/>
    <w:rsid w:val="005F4612"/>
    <w:pPr>
      <w:spacing w:after="200" w:line="240" w:lineRule="auto"/>
      <w:jc w:val="left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customStyle="1" w:styleId="TableCaption" w:type="paragraph">
    <w:name w:val="Table Caption"/>
    <w:basedOn w:val="afc"/>
    <w:rsid w:val="005F4612"/>
    <w:pPr>
      <w:keepNext/>
      <w:spacing w:after="120"/>
      <w:jc w:val="left"/>
    </w:pPr>
    <w:rPr>
      <w:rFonts w:asciiTheme="minorHAnsi" w:cstheme="minorBidi" w:eastAsiaTheme="minorEastAsia" w:hAnsiTheme="minorHAnsi"/>
      <w:iCs w:val="0"/>
      <w:color w:val="auto"/>
      <w:sz w:val="24"/>
      <w:szCs w:val="24"/>
      <w:lang w:eastAsia="zh-CN" w:val="en-US"/>
    </w:rPr>
  </w:style>
  <w:style w:customStyle="1" w:styleId="ImageCaption" w:type="paragraph">
    <w:name w:val="Image Caption"/>
    <w:basedOn w:val="afc"/>
    <w:rsid w:val="005F4612"/>
    <w:pPr>
      <w:spacing w:after="120"/>
      <w:jc w:val="left"/>
    </w:pPr>
    <w:rPr>
      <w:rFonts w:asciiTheme="minorHAnsi" w:cstheme="minorBidi" w:eastAsiaTheme="minorEastAsia" w:hAnsiTheme="minorHAnsi"/>
      <w:iCs w:val="0"/>
      <w:color w:val="auto"/>
      <w:sz w:val="24"/>
      <w:szCs w:val="24"/>
      <w:lang w:eastAsia="zh-CN" w:val="en-US"/>
    </w:rPr>
  </w:style>
  <w:style w:customStyle="1" w:styleId="VerbatimChar" w:type="character">
    <w:name w:val="Verbatim Char"/>
    <w:basedOn w:val="a2"/>
    <w:rsid w:val="005F4612"/>
    <w:rPr>
      <w:rFonts w:ascii="Consolas" w:hAnsi="Consolas"/>
      <w:sz w:val="22"/>
    </w:rPr>
  </w:style>
  <w:style w:styleId="afd" w:type="character">
    <w:name w:val="footnote reference"/>
    <w:basedOn w:val="a2"/>
    <w:rsid w:val="005F4612"/>
    <w:rPr>
      <w:vertAlign w:val="superscript"/>
    </w:rPr>
  </w:style>
  <w:style w:styleId="afc" w:type="paragraph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afe" w:type="paragraph">
    <w:name w:val="List"/>
    <w:basedOn w:val="a8"/>
    <w:uiPriority w:val="99"/>
    <w:unhideWhenUsed/>
    <w:rsid w:val="00C921C2"/>
  </w:style>
  <w:style w:customStyle="1" w:styleId="MyBulletList" w:type="paragraph">
    <w:name w:val="MyBulletList"/>
    <w:basedOn w:val="afe"/>
    <w:qFormat/>
    <w:rsid w:val="00321754"/>
    <w:pPr>
      <w:numPr>
        <w:numId w:val="31"/>
      </w:numPr>
    </w:pPr>
  </w:style>
  <w:style w:customStyle="1" w:styleId="MyNumberedList" w:type="paragraph">
    <w:name w:val="MyNumberedList"/>
    <w:basedOn w:val="a8"/>
    <w:qFormat/>
    <w:rsid w:val="00321754"/>
    <w:pPr>
      <w:numPr>
        <w:numId w:val="30"/>
      </w:numPr>
    </w:pPr>
  </w:style>
  <w:style w:customStyle="1" w:styleId="90" w:type="numbering">
    <w:name w:val="Текущий список9"/>
    <w:uiPriority w:val="99"/>
    <w:rsid w:val="00321754"/>
    <w:pPr>
      <w:numPr>
        <w:numId w:val="32"/>
      </w:numPr>
    </w:pPr>
  </w:style>
  <w:style w:styleId="a" w:type="paragraph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styleId="a0" w:type="paragraph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customStyle="1" w:styleId="Heading3" w:type="paragraph">
    <w:name w:val="Heading3"/>
    <w:basedOn w:val="3"/>
    <w:qFormat/>
    <w:rsid w:val="00344A01"/>
    <w:rPr>
      <w:rFonts w:cs="Times New Roman"/>
      <w:b w:val="0"/>
      <w:bCs/>
      <w:szCs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2026-05-07T22:45:18Z</dcterms:created>
  <dcterms:modified xsi:type="dcterms:W3CDTF">2026-05-07T22:45:18Z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