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Rapport de TP 2</w:t>
        <w:br/>
        <w:t>Pipeline Medallion</w:t>
      </w:r>
    </w:p>
    <w:p>
      <w:pPr>
        <w:jc w:val="center"/>
      </w:pPr>
      <w:r>
        <w:rPr>
          <w:sz w:val="26"/>
        </w:rPr>
        <w:t>Architecture des données — Bronze → Silver → Gold</w:t>
        <w:br/>
        <w:t>MinIO, Pandas et DuckDB</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
              <w:rPr>
                <w:b/>
                <w:sz w:val="19"/>
              </w:rPr>
              <w:t>Étudiante</w:t>
            </w:r>
          </w:p>
        </w:tc>
        <w:tc>
          <w:tcPr>
            <w:tcW w:type="dxa" w:w="5040"/>
          </w:tcPr>
          <w:p>
            <w:r/>
            <w:r>
              <w:rPr>
                <w:b w:val="0"/>
                <w:sz w:val="19"/>
              </w:rPr>
              <w:t>Hind Hilal</w:t>
            </w:r>
          </w:p>
        </w:tc>
      </w:tr>
      <w:tr>
        <w:tc>
          <w:tcPr>
            <w:tcW w:type="dxa" w:w="5040"/>
            <w:shd w:fill="EAF2F8"/>
          </w:tcPr>
          <w:p>
            <w:r/>
            <w:r>
              <w:rPr>
                <w:b/>
                <w:sz w:val="19"/>
              </w:rPr>
              <w:t>Filière</w:t>
            </w:r>
          </w:p>
        </w:tc>
        <w:tc>
          <w:tcPr>
            <w:tcW w:type="dxa" w:w="5040"/>
          </w:tcPr>
          <w:p>
            <w:r/>
            <w:r>
              <w:rPr>
                <w:b w:val="0"/>
                <w:sz w:val="19"/>
              </w:rPr>
              <w:t>Ingénierie informatique et réseaux / IAD &amp; DSI</w:t>
            </w:r>
          </w:p>
        </w:tc>
      </w:tr>
      <w:tr>
        <w:tc>
          <w:tcPr>
            <w:tcW w:type="dxa" w:w="5040"/>
            <w:shd w:fill="EAF2F8"/>
          </w:tcPr>
          <w:p>
            <w:r/>
            <w:r>
              <w:rPr>
                <w:b/>
                <w:sz w:val="19"/>
              </w:rPr>
              <w:t>Année universitaire</w:t>
            </w:r>
          </w:p>
        </w:tc>
        <w:tc>
          <w:tcPr>
            <w:tcW w:type="dxa" w:w="5040"/>
          </w:tcPr>
          <w:p>
            <w:r/>
            <w:r>
              <w:rPr>
                <w:b w:val="0"/>
                <w:sz w:val="19"/>
              </w:rPr>
              <w:t>2025-2026</w:t>
            </w:r>
          </w:p>
        </w:tc>
      </w:tr>
      <w:tr>
        <w:tc>
          <w:tcPr>
            <w:tcW w:type="dxa" w:w="5040"/>
            <w:shd w:fill="EAF2F8"/>
          </w:tcPr>
          <w:p>
            <w:r/>
            <w:r>
              <w:rPr>
                <w:b/>
                <w:sz w:val="19"/>
              </w:rPr>
              <w:t>Outil d’exécution proposé</w:t>
            </w:r>
          </w:p>
        </w:tc>
        <w:tc>
          <w:tcPr>
            <w:tcW w:type="dxa" w:w="5040"/>
          </w:tcPr>
          <w:p>
            <w:r/>
            <w:r>
              <w:rPr>
                <w:b w:val="0"/>
                <w:sz w:val="19"/>
              </w:rPr>
              <w:t>GitHub Codespaces + Docker + Python</w:t>
            </w:r>
          </w:p>
        </w:tc>
      </w:tr>
    </w:tbl>
    <w:p>
      <w:r>
        <w:br w:type="page"/>
      </w:r>
    </w:p>
    <w:p>
      <w:pPr>
        <w:pStyle w:val="Heading1"/>
      </w:pPr>
      <w:r>
        <w:t>1. Introduction</w:t>
      </w:r>
    </w:p>
    <w:p>
      <w:r>
        <w:t>Ce TP consiste à mettre en place un pipeline de données selon l’architecture Medallion. Les données passent par trois couches : Bronze pour l’ingestion brute, Silver pour le nettoyage et la fiabilisation, puis Gold pour les agrégations métier prêtes pour la BI.</w:t>
      </w:r>
    </w:p>
    <w:p>
      <w:r>
        <w:t>La réalisation compare deux approches technologiques : Pandas, orienté DataFrame Python, et DuckDB, orienté SQL embarqué. Les deux approches produisent les mêmes résultats fonctionnels dans les couches Silver et Gold.</w:t>
      </w:r>
    </w:p>
    <w:p>
      <w:pPr>
        <w:pStyle w:val="Heading1"/>
      </w:pPr>
      <w:r>
        <w:t>2. Objectifs du TP</w:t>
      </w:r>
    </w:p>
    <w:p>
      <w:pPr>
        <w:pStyle w:val="ListBullet"/>
      </w:pPr>
      <w:r>
        <w:t>Déployer un Data Lake local avec MinIO.</w:t>
      </w:r>
    </w:p>
    <w:p>
      <w:pPr>
        <w:pStyle w:val="ListBullet"/>
      </w:pPr>
      <w:r>
        <w:t>Créer les buckets bronze, silver et gold.</w:t>
      </w:r>
    </w:p>
    <w:p>
      <w:pPr>
        <w:pStyle w:val="ListBullet"/>
      </w:pPr>
      <w:r>
        <w:t>Ingérer le fichier CSV brut dans la couche Bronze.</w:t>
      </w:r>
    </w:p>
    <w:p>
      <w:pPr>
        <w:pStyle w:val="ListBullet"/>
      </w:pPr>
      <w:r>
        <w:t>Nettoyer les données en Silver : suppression des doublons, valeurs nulles et correction des types.</w:t>
      </w:r>
    </w:p>
    <w:p>
      <w:pPr>
        <w:pStyle w:val="ListBullet"/>
      </w:pPr>
      <w:r>
        <w:t>Créer des agrégations métier en Gold : chiffre d’affaires par région, évolution mensuelle et top produits.</w:t>
      </w:r>
    </w:p>
    <w:p>
      <w:pPr>
        <w:pStyle w:val="ListBullet"/>
      </w:pPr>
      <w:r>
        <w:t>Comparer les variantes Pandas et DuckDB.</w:t>
      </w:r>
    </w:p>
    <w:p>
      <w:pPr>
        <w:pStyle w:val="Heading1"/>
      </w:pPr>
      <w:r>
        <w:t>3. Environnement de travail</w:t>
      </w:r>
    </w:p>
    <w:p>
      <w:r>
        <w:t>Comme Docker Desktop ne fonctionne pas sur le PC local, la solution recommandée est GitHub Codespaces. Codespaces permet d’exécuter Docker dans un environnement cloud, directement depuis le navigateur.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9"/>
              </w:rPr>
              <w:t>Composant</w:t>
            </w:r>
          </w:p>
        </w:tc>
        <w:tc>
          <w:tcPr>
            <w:tcW w:type="dxa" w:w="3360"/>
            <w:shd w:fill="D9EAF7"/>
          </w:tcPr>
          <w:p>
            <w:r/>
            <w:r>
              <w:rPr>
                <w:b/>
                <w:sz w:val="19"/>
              </w:rPr>
              <w:t>Outil</w:t>
            </w:r>
          </w:p>
        </w:tc>
        <w:tc>
          <w:tcPr>
            <w:tcW w:type="dxa" w:w="3360"/>
            <w:shd w:fill="D9EAF7"/>
          </w:tcPr>
          <w:p>
            <w:r/>
            <w:r>
              <w:rPr>
                <w:b/>
                <w:sz w:val="19"/>
              </w:rPr>
              <w:t>Rôle</w:t>
            </w:r>
          </w:p>
        </w:tc>
      </w:tr>
      <w:tr>
        <w:tc>
          <w:tcPr>
            <w:tcW w:type="dxa" w:w="3360"/>
            <w:vAlign w:val="center"/>
          </w:tcPr>
          <w:p>
            <w:r/>
            <w:r>
              <w:rPr>
                <w:b w:val="0"/>
                <w:sz w:val="19"/>
              </w:rPr>
              <w:t>Stockage objet</w:t>
            </w:r>
          </w:p>
        </w:tc>
        <w:tc>
          <w:tcPr>
            <w:tcW w:type="dxa" w:w="3360"/>
            <w:vAlign w:val="center"/>
          </w:tcPr>
          <w:p>
            <w:r/>
            <w:r>
              <w:rPr>
                <w:b w:val="0"/>
                <w:sz w:val="19"/>
              </w:rPr>
              <w:t>MinIO</w:t>
            </w:r>
          </w:p>
        </w:tc>
        <w:tc>
          <w:tcPr>
            <w:tcW w:type="dxa" w:w="3360"/>
            <w:vAlign w:val="center"/>
          </w:tcPr>
          <w:p>
            <w:r/>
            <w:r>
              <w:rPr>
                <w:b w:val="0"/>
                <w:sz w:val="19"/>
              </w:rPr>
              <w:t>Simulation locale d’un Data Lake compatible S3</w:t>
            </w:r>
          </w:p>
        </w:tc>
      </w:tr>
      <w:tr>
        <w:tc>
          <w:tcPr>
            <w:tcW w:type="dxa" w:w="3360"/>
            <w:vAlign w:val="center"/>
          </w:tcPr>
          <w:p>
            <w:r/>
            <w:r>
              <w:rPr>
                <w:b w:val="0"/>
                <w:sz w:val="19"/>
              </w:rPr>
              <w:t>Langage</w:t>
            </w:r>
          </w:p>
        </w:tc>
        <w:tc>
          <w:tcPr>
            <w:tcW w:type="dxa" w:w="3360"/>
            <w:vAlign w:val="center"/>
          </w:tcPr>
          <w:p>
            <w:r/>
            <w:r>
              <w:rPr>
                <w:b w:val="0"/>
                <w:sz w:val="19"/>
              </w:rPr>
              <w:t>Python</w:t>
            </w:r>
          </w:p>
        </w:tc>
        <w:tc>
          <w:tcPr>
            <w:tcW w:type="dxa" w:w="3360"/>
            <w:vAlign w:val="center"/>
          </w:tcPr>
          <w:p>
            <w:r/>
            <w:r>
              <w:rPr>
                <w:b w:val="0"/>
                <w:sz w:val="19"/>
              </w:rPr>
              <w:t>Scripts de traitement et orchestration</w:t>
            </w:r>
          </w:p>
        </w:tc>
      </w:tr>
      <w:tr>
        <w:tc>
          <w:tcPr>
            <w:tcW w:type="dxa" w:w="3360"/>
            <w:vAlign w:val="center"/>
          </w:tcPr>
          <w:p>
            <w:r/>
            <w:r>
              <w:rPr>
                <w:b w:val="0"/>
                <w:sz w:val="19"/>
              </w:rPr>
              <w:t>Variante 1</w:t>
            </w:r>
          </w:p>
        </w:tc>
        <w:tc>
          <w:tcPr>
            <w:tcW w:type="dxa" w:w="3360"/>
            <w:vAlign w:val="center"/>
          </w:tcPr>
          <w:p>
            <w:r/>
            <w:r>
              <w:rPr>
                <w:b w:val="0"/>
                <w:sz w:val="19"/>
              </w:rPr>
              <w:t>Pandas</w:t>
            </w:r>
          </w:p>
        </w:tc>
        <w:tc>
          <w:tcPr>
            <w:tcW w:type="dxa" w:w="3360"/>
            <w:vAlign w:val="center"/>
          </w:tcPr>
          <w:p>
            <w:r/>
            <w:r>
              <w:rPr>
                <w:b w:val="0"/>
                <w:sz w:val="19"/>
              </w:rPr>
              <w:t>Traitement en mémoire avec DataFrame</w:t>
            </w:r>
          </w:p>
        </w:tc>
      </w:tr>
      <w:tr>
        <w:tc>
          <w:tcPr>
            <w:tcW w:type="dxa" w:w="3360"/>
            <w:vAlign w:val="center"/>
          </w:tcPr>
          <w:p>
            <w:r/>
            <w:r>
              <w:rPr>
                <w:b w:val="0"/>
                <w:sz w:val="19"/>
              </w:rPr>
              <w:t>Variante 2</w:t>
            </w:r>
          </w:p>
        </w:tc>
        <w:tc>
          <w:tcPr>
            <w:tcW w:type="dxa" w:w="3360"/>
            <w:vAlign w:val="center"/>
          </w:tcPr>
          <w:p>
            <w:r/>
            <w:r>
              <w:rPr>
                <w:b w:val="0"/>
                <w:sz w:val="19"/>
              </w:rPr>
              <w:t>DuckDB</w:t>
            </w:r>
          </w:p>
        </w:tc>
        <w:tc>
          <w:tcPr>
            <w:tcW w:type="dxa" w:w="3360"/>
            <w:vAlign w:val="center"/>
          </w:tcPr>
          <w:p>
            <w:r/>
            <w:r>
              <w:rPr>
                <w:b w:val="0"/>
                <w:sz w:val="19"/>
              </w:rPr>
              <w:t>Traitement SQL local et rapide</w:t>
            </w:r>
          </w:p>
        </w:tc>
      </w:tr>
      <w:tr>
        <w:tc>
          <w:tcPr>
            <w:tcW w:type="dxa" w:w="3360"/>
            <w:vAlign w:val="center"/>
          </w:tcPr>
          <w:p>
            <w:r/>
            <w:r>
              <w:rPr>
                <w:b w:val="0"/>
                <w:sz w:val="19"/>
              </w:rPr>
              <w:t>Format Silver/Gold</w:t>
            </w:r>
          </w:p>
        </w:tc>
        <w:tc>
          <w:tcPr>
            <w:tcW w:type="dxa" w:w="3360"/>
            <w:vAlign w:val="center"/>
          </w:tcPr>
          <w:p>
            <w:r/>
            <w:r>
              <w:rPr>
                <w:b w:val="0"/>
                <w:sz w:val="19"/>
              </w:rPr>
              <w:t>Parquet</w:t>
            </w:r>
          </w:p>
        </w:tc>
        <w:tc>
          <w:tcPr>
            <w:tcW w:type="dxa" w:w="3360"/>
            <w:vAlign w:val="center"/>
          </w:tcPr>
          <w:p>
            <w:r/>
            <w:r>
              <w:rPr>
                <w:b w:val="0"/>
                <w:sz w:val="19"/>
              </w:rPr>
              <w:t>Format colonnaire optimisé pour l’analytique</w:t>
            </w:r>
          </w:p>
        </w:tc>
      </w:tr>
    </w:tbl>
    <w:p/>
    <w:p>
      <w:pPr>
        <w:pStyle w:val="Heading1"/>
      </w:pPr>
      <w:r>
        <w:t>4. Architecture Medallion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9"/>
              </w:rPr>
              <w:t>Couche</w:t>
            </w:r>
          </w:p>
        </w:tc>
        <w:tc>
          <w:tcPr>
            <w:tcW w:type="dxa" w:w="3360"/>
            <w:shd w:fill="D9EAF7"/>
          </w:tcPr>
          <w:p>
            <w:r/>
            <w:r>
              <w:rPr>
                <w:b/>
                <w:sz w:val="19"/>
              </w:rPr>
              <w:t>Format</w:t>
            </w:r>
          </w:p>
        </w:tc>
        <w:tc>
          <w:tcPr>
            <w:tcW w:type="dxa" w:w="3360"/>
            <w:shd w:fill="D9EAF7"/>
          </w:tcPr>
          <w:p>
            <w:r/>
            <w:r>
              <w:rPr>
                <w:b/>
                <w:sz w:val="19"/>
              </w:rPr>
              <w:t>Traitement</w:t>
            </w:r>
          </w:p>
        </w:tc>
      </w:tr>
      <w:tr>
        <w:tc>
          <w:tcPr>
            <w:tcW w:type="dxa" w:w="3360"/>
            <w:vAlign w:val="center"/>
          </w:tcPr>
          <w:p>
            <w:r/>
            <w:r>
              <w:rPr>
                <w:b w:val="0"/>
                <w:sz w:val="19"/>
              </w:rPr>
              <w:t>Bronze</w:t>
            </w:r>
          </w:p>
        </w:tc>
        <w:tc>
          <w:tcPr>
            <w:tcW w:type="dxa" w:w="3360"/>
            <w:vAlign w:val="center"/>
          </w:tcPr>
          <w:p>
            <w:r/>
            <w:r>
              <w:rPr>
                <w:b w:val="0"/>
                <w:sz w:val="19"/>
              </w:rPr>
              <w:t>CSV brut</w:t>
            </w:r>
          </w:p>
        </w:tc>
        <w:tc>
          <w:tcPr>
            <w:tcW w:type="dxa" w:w="3360"/>
            <w:vAlign w:val="center"/>
          </w:tcPr>
          <w:p>
            <w:r/>
            <w:r>
              <w:rPr>
                <w:b w:val="0"/>
                <w:sz w:val="19"/>
              </w:rPr>
              <w:t>Aucune transformation, copie exacte de la source</w:t>
            </w:r>
          </w:p>
        </w:tc>
      </w:tr>
      <w:tr>
        <w:tc>
          <w:tcPr>
            <w:tcW w:type="dxa" w:w="3360"/>
            <w:vAlign w:val="center"/>
          </w:tcPr>
          <w:p>
            <w:r/>
            <w:r>
              <w:rPr>
                <w:b w:val="0"/>
                <w:sz w:val="19"/>
              </w:rPr>
              <w:t>Silver</w:t>
            </w:r>
          </w:p>
        </w:tc>
        <w:tc>
          <w:tcPr>
            <w:tcW w:type="dxa" w:w="3360"/>
            <w:vAlign w:val="center"/>
          </w:tcPr>
          <w:p>
            <w:r/>
            <w:r>
              <w:rPr>
                <w:b w:val="0"/>
                <w:sz w:val="19"/>
              </w:rPr>
              <w:t>Parquet propre</w:t>
            </w:r>
          </w:p>
        </w:tc>
        <w:tc>
          <w:tcPr>
            <w:tcW w:type="dxa" w:w="3360"/>
            <w:vAlign w:val="center"/>
          </w:tcPr>
          <w:p>
            <w:r/>
            <w:r>
              <w:rPr>
                <w:b w:val="0"/>
                <w:sz w:val="19"/>
              </w:rPr>
              <w:t>Suppression des erreurs, types corrects, colonnes dérivées</w:t>
            </w:r>
          </w:p>
        </w:tc>
      </w:tr>
      <w:tr>
        <w:tc>
          <w:tcPr>
            <w:tcW w:type="dxa" w:w="3360"/>
            <w:vAlign w:val="center"/>
          </w:tcPr>
          <w:p>
            <w:r/>
            <w:r>
              <w:rPr>
                <w:b w:val="0"/>
                <w:sz w:val="19"/>
              </w:rPr>
              <w:t>Gold</w:t>
            </w:r>
          </w:p>
        </w:tc>
        <w:tc>
          <w:tcPr>
            <w:tcW w:type="dxa" w:w="3360"/>
            <w:vAlign w:val="center"/>
          </w:tcPr>
          <w:p>
            <w:r/>
            <w:r>
              <w:rPr>
                <w:b w:val="0"/>
                <w:sz w:val="19"/>
              </w:rPr>
              <w:t>Parquet agrégé</w:t>
            </w:r>
          </w:p>
        </w:tc>
        <w:tc>
          <w:tcPr>
            <w:tcW w:type="dxa" w:w="3360"/>
            <w:vAlign w:val="center"/>
          </w:tcPr>
          <w:p>
            <w:r/>
            <w:r>
              <w:rPr>
                <w:b w:val="0"/>
                <w:sz w:val="19"/>
              </w:rPr>
              <w:t>Indicateurs métier pour reporting et BI</w:t>
            </w:r>
          </w:p>
        </w:tc>
      </w:tr>
    </w:tbl>
    <w:p/>
    <w:p>
      <w:r>
        <w:t>Flux global : Source CSV → Bucket Bronze → Nettoyage Silver → Agrégations Gold → Visualisation BI.</w:t>
      </w:r>
    </w:p>
    <w:p>
      <w:pPr>
        <w:pStyle w:val="Heading1"/>
      </w:pPr>
      <w:r>
        <w:t>5. Dataset utilisé</w:t>
      </w:r>
    </w:p>
    <w:p>
      <w:r>
        <w:t>Le fichier source est ventes_raw.csv. Il contient des commandes avec les colonnes : id_commande, date_commande, client_id, produit, categorie, quantite, prix_unitaire et region.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9"/>
              </w:rPr>
              <w:t>Ligne</w:t>
            </w:r>
          </w:p>
        </w:tc>
        <w:tc>
          <w:tcPr>
            <w:tcW w:type="dxa" w:w="3360"/>
            <w:shd w:fill="D9EAF7"/>
          </w:tcPr>
          <w:p>
            <w:r/>
            <w:r>
              <w:rPr>
                <w:b/>
                <w:sz w:val="19"/>
              </w:rPr>
              <w:t>Problème</w:t>
            </w:r>
          </w:p>
        </w:tc>
        <w:tc>
          <w:tcPr>
            <w:tcW w:type="dxa" w:w="3360"/>
            <w:shd w:fill="D9EAF7"/>
          </w:tcPr>
          <w:p>
            <w:r/>
            <w:r>
              <w:rPr>
                <w:b/>
                <w:sz w:val="19"/>
              </w:rPr>
              <w:t>Correction Silver</w:t>
            </w:r>
          </w:p>
        </w:tc>
      </w:tr>
      <w:tr>
        <w:tc>
          <w:tcPr>
            <w:tcW w:type="dxa" w:w="3360"/>
            <w:vAlign w:val="center"/>
          </w:tcPr>
          <w:p>
            <w:r/>
            <w:r>
              <w:rPr>
                <w:b w:val="0"/>
                <w:sz w:val="19"/>
              </w:rPr>
              <w:t>1003</w:t>
            </w:r>
          </w:p>
        </w:tc>
        <w:tc>
          <w:tcPr>
            <w:tcW w:type="dxa" w:w="3360"/>
            <w:vAlign w:val="center"/>
          </w:tcPr>
          <w:p>
            <w:r/>
            <w:r>
              <w:rPr>
                <w:b w:val="0"/>
                <w:sz w:val="19"/>
              </w:rPr>
              <w:t>client_id vide</w:t>
            </w:r>
          </w:p>
        </w:tc>
        <w:tc>
          <w:tcPr>
            <w:tcW w:type="dxa" w:w="3360"/>
            <w:vAlign w:val="center"/>
          </w:tcPr>
          <w:p>
            <w:r/>
            <w:r>
              <w:rPr>
                <w:b w:val="0"/>
                <w:sz w:val="19"/>
              </w:rPr>
              <w:t>Ligne supprimée en Silver car le client est obligatoire</w:t>
            </w:r>
          </w:p>
        </w:tc>
      </w:tr>
      <w:tr>
        <w:tc>
          <w:tcPr>
            <w:tcW w:type="dxa" w:w="3360"/>
            <w:vAlign w:val="center"/>
          </w:tcPr>
          <w:p>
            <w:r/>
            <w:r>
              <w:rPr>
                <w:b w:val="0"/>
                <w:sz w:val="19"/>
              </w:rPr>
              <w:t>1005</w:t>
            </w:r>
          </w:p>
        </w:tc>
        <w:tc>
          <w:tcPr>
            <w:tcW w:type="dxa" w:w="3360"/>
            <w:vAlign w:val="center"/>
          </w:tcPr>
          <w:p>
            <w:r/>
            <w:r>
              <w:rPr>
                <w:b w:val="0"/>
                <w:sz w:val="19"/>
              </w:rPr>
              <w:t>doublon</w:t>
            </w:r>
          </w:p>
        </w:tc>
        <w:tc>
          <w:tcPr>
            <w:tcW w:type="dxa" w:w="3360"/>
            <w:vAlign w:val="center"/>
          </w:tcPr>
          <w:p>
            <w:r/>
            <w:r>
              <w:rPr>
                <w:b w:val="0"/>
                <w:sz w:val="19"/>
              </w:rPr>
              <w:t>Doublon supprimé après nettoyage des espaces dans la colonne region</w:t>
            </w:r>
          </w:p>
        </w:tc>
      </w:tr>
      <w:tr>
        <w:tc>
          <w:tcPr>
            <w:tcW w:type="dxa" w:w="3360"/>
            <w:vAlign w:val="center"/>
          </w:tcPr>
          <w:p>
            <w:r/>
            <w:r>
              <w:rPr>
                <w:b w:val="0"/>
                <w:sz w:val="19"/>
              </w:rPr>
              <w:t>1009</w:t>
            </w:r>
          </w:p>
        </w:tc>
        <w:tc>
          <w:tcPr>
            <w:tcW w:type="dxa" w:w="3360"/>
            <w:vAlign w:val="center"/>
          </w:tcPr>
          <w:p>
            <w:r/>
            <w:r>
              <w:rPr>
                <w:b w:val="0"/>
                <w:sz w:val="19"/>
              </w:rPr>
              <w:t>quantite vide</w:t>
            </w:r>
          </w:p>
        </w:tc>
        <w:tc>
          <w:tcPr>
            <w:tcW w:type="dxa" w:w="3360"/>
            <w:vAlign w:val="center"/>
          </w:tcPr>
          <w:p>
            <w:r/>
            <w:r>
              <w:rPr>
                <w:b w:val="0"/>
                <w:sz w:val="19"/>
              </w:rPr>
              <w:t>Ligne supprimée en Silver car la quantité est obligatoire</w:t>
            </w:r>
          </w:p>
        </w:tc>
      </w:tr>
    </w:tbl>
    <w:p/>
    <w:p>
      <w:pPr>
        <w:pStyle w:val="Heading1"/>
      </w:pPr>
      <w:r>
        <w:t>6. Étapes de réalisation</w:t>
      </w:r>
    </w:p>
    <w:p>
      <w:pPr>
        <w:pStyle w:val="Heading2"/>
      </w:pPr>
      <w:r>
        <w:t>6.1 Lancement de MinIO</w:t>
      </w:r>
    </w:p>
    <w:p>
      <w:r>
        <w:t>Dans Codespaces, exécuter :</w:t>
      </w:r>
    </w:p>
    <w:p>
      <w:r>
        <w:t>docker compose up -d</w:t>
      </w:r>
    </w:p>
    <w:p>
      <w:r>
        <w:t>Puis ouvrir MinIO sur http://localhost:9001 avec minioadmin / minioadmin.</w:t>
      </w:r>
    </w:p>
    <w:p>
      <w:pPr>
        <w:pStyle w:val="Heading2"/>
      </w:pPr>
      <w:r>
        <w:t>6.2 Création des buckets</w:t>
      </w:r>
    </w:p>
    <w:p>
      <w:r>
        <w:t>Les buckets bronze, silver et gold sont créés automatiquement avec le script scripts/00_create_buckets.py.</w:t>
      </w:r>
    </w:p>
    <w:p>
      <w:pPr>
        <w:pStyle w:val="Heading2"/>
      </w:pPr>
      <w:r>
        <w:t>6.3 Ingestion Bronze</w:t>
      </w:r>
    </w:p>
    <w:p>
      <w:r>
        <w:t>Le fichier ventes_raw.csv est envoyé dans le bucket bronze sous le chemin ventes/ventes_raw.csv. Aucune transformation n’est réalisée dans cette couche.</w:t>
      </w:r>
    </w:p>
    <w:p>
      <w:pPr>
        <w:pStyle w:val="Heading2"/>
      </w:pPr>
      <w:r>
        <w:t>6.4 Nettoyage Silver</w:t>
      </w:r>
    </w:p>
    <w:p>
      <w:r>
        <w:t>Le nettoyage Silver applique les opérations suivantes : suppression des espaces dans les colonnes texte, suppression des doublons, suppression des lignes avec client_id ou quantite manquants, conversion des types, puis ajout de montant_total, annee et mois.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9"/>
              </w:rPr>
              <w:t>Indicateur</w:t>
            </w:r>
          </w:p>
        </w:tc>
        <w:tc>
          <w:tcPr>
            <w:tcW w:type="dxa" w:w="5040"/>
            <w:shd w:fill="D9EAF7"/>
          </w:tcPr>
          <w:p>
            <w:r/>
            <w:r>
              <w:rPr>
                <w:b/>
                <w:sz w:val="19"/>
              </w:rPr>
              <w:t>Valeur</w:t>
            </w:r>
          </w:p>
        </w:tc>
      </w:tr>
      <w:tr>
        <w:tc>
          <w:tcPr>
            <w:tcW w:type="dxa" w:w="5040"/>
            <w:vAlign w:val="center"/>
          </w:tcPr>
          <w:p>
            <w:r/>
            <w:r>
              <w:rPr>
                <w:b w:val="0"/>
                <w:sz w:val="19"/>
              </w:rPr>
              <w:t>Lignes brutes</w:t>
            </w:r>
          </w:p>
        </w:tc>
        <w:tc>
          <w:tcPr>
            <w:tcW w:type="dxa" w:w="5040"/>
            <w:vAlign w:val="center"/>
          </w:tcPr>
          <w:p>
            <w:r/>
            <w:r>
              <w:rPr>
                <w:b w:val="0"/>
                <w:sz w:val="19"/>
              </w:rPr>
              <w:t>16</w:t>
            </w:r>
          </w:p>
        </w:tc>
      </w:tr>
      <w:tr>
        <w:tc>
          <w:tcPr>
            <w:tcW w:type="dxa" w:w="5040"/>
            <w:vAlign w:val="center"/>
          </w:tcPr>
          <w:p>
            <w:r/>
            <w:r>
              <w:rPr>
                <w:b w:val="0"/>
                <w:sz w:val="19"/>
              </w:rPr>
              <w:t>Après suppression du doublon</w:t>
            </w:r>
          </w:p>
        </w:tc>
        <w:tc>
          <w:tcPr>
            <w:tcW w:type="dxa" w:w="5040"/>
            <w:vAlign w:val="center"/>
          </w:tcPr>
          <w:p>
            <w:r/>
            <w:r>
              <w:rPr>
                <w:b w:val="0"/>
                <w:sz w:val="19"/>
              </w:rPr>
              <w:t>15</w:t>
            </w:r>
          </w:p>
        </w:tc>
      </w:tr>
      <w:tr>
        <w:tc>
          <w:tcPr>
            <w:tcW w:type="dxa" w:w="5040"/>
            <w:vAlign w:val="center"/>
          </w:tcPr>
          <w:p>
            <w:r/>
            <w:r>
              <w:rPr>
                <w:b w:val="0"/>
                <w:sz w:val="19"/>
              </w:rPr>
              <w:t>Après suppression des valeurs nulles critiques</w:t>
            </w:r>
          </w:p>
        </w:tc>
        <w:tc>
          <w:tcPr>
            <w:tcW w:type="dxa" w:w="5040"/>
            <w:vAlign w:val="center"/>
          </w:tcPr>
          <w:p>
            <w:r/>
            <w:r>
              <w:rPr>
                <w:b w:val="0"/>
                <w:sz w:val="19"/>
              </w:rPr>
              <w:t>13</w:t>
            </w:r>
          </w:p>
        </w:tc>
      </w:tr>
      <w:tr>
        <w:tc>
          <w:tcPr>
            <w:tcW w:type="dxa" w:w="5040"/>
            <w:vAlign w:val="center"/>
          </w:tcPr>
          <w:p>
            <w:r/>
            <w:r>
              <w:rPr>
                <w:b w:val="0"/>
                <w:sz w:val="19"/>
              </w:rPr>
              <w:t>Nombre final de lignes Silver</w:t>
            </w:r>
          </w:p>
        </w:tc>
        <w:tc>
          <w:tcPr>
            <w:tcW w:type="dxa" w:w="5040"/>
            <w:vAlign w:val="center"/>
          </w:tcPr>
          <w:p>
            <w:r/>
            <w:r>
              <w:rPr>
                <w:b w:val="0"/>
                <w:sz w:val="19"/>
              </w:rPr>
              <w:t>13</w:t>
            </w:r>
          </w:p>
        </w:tc>
      </w:tr>
    </w:tbl>
    <w:p/>
    <w:p>
      <w:pPr>
        <w:pStyle w:val="Heading2"/>
      </w:pPr>
      <w:r>
        <w:t>6.5 Agrégations Gold</w:t>
      </w:r>
    </w:p>
    <w:p>
      <w:r>
        <w:t>Trois tables Gold sont générées : ca_region, ca_mensuel et top_produits.</w:t>
      </w:r>
    </w:p>
    <w:p>
      <w:pPr>
        <w:pStyle w:val="Heading3"/>
      </w:pPr>
      <w:r>
        <w:t>Table Gold 1 : CA par région et catégorie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9"/>
              </w:rPr>
              <w:t>region</w:t>
            </w:r>
          </w:p>
        </w:tc>
        <w:tc>
          <w:tcPr>
            <w:tcW w:type="dxa" w:w="2016"/>
            <w:shd w:fill="D9EAF7"/>
          </w:tcPr>
          <w:p>
            <w:r/>
            <w:r>
              <w:rPr>
                <w:b/>
                <w:sz w:val="19"/>
              </w:rPr>
              <w:t>categorie</w:t>
            </w:r>
          </w:p>
        </w:tc>
        <w:tc>
          <w:tcPr>
            <w:tcW w:type="dxa" w:w="2016"/>
            <w:shd w:fill="D9EAF7"/>
          </w:tcPr>
          <w:p>
            <w:r/>
            <w:r>
              <w:rPr>
                <w:b/>
                <w:sz w:val="19"/>
              </w:rPr>
              <w:t>ca_total</w:t>
            </w:r>
          </w:p>
        </w:tc>
        <w:tc>
          <w:tcPr>
            <w:tcW w:type="dxa" w:w="2016"/>
            <w:shd w:fill="D9EAF7"/>
          </w:tcPr>
          <w:p>
            <w:r/>
            <w:r>
              <w:rPr>
                <w:b/>
                <w:sz w:val="19"/>
              </w:rPr>
              <w:t>nb_commandes</w:t>
            </w:r>
          </w:p>
        </w:tc>
        <w:tc>
          <w:tcPr>
            <w:tcW w:type="dxa" w:w="2016"/>
            <w:shd w:fill="D9EAF7"/>
          </w:tcPr>
          <w:p>
            <w:r/>
            <w:r>
              <w:rPr>
                <w:b/>
                <w:sz w:val="19"/>
              </w:rPr>
              <w:t>panier_moyen</w:t>
            </w:r>
          </w:p>
        </w:tc>
      </w:tr>
      <w:tr>
        <w:tc>
          <w:tcPr>
            <w:tcW w:type="dxa" w:w="2016"/>
            <w:vAlign w:val="center"/>
          </w:tcPr>
          <w:p>
            <w:r/>
            <w:r>
              <w:rPr>
                <w:b w:val="0"/>
                <w:sz w:val="19"/>
              </w:rPr>
              <w:t>Nord</w:t>
            </w:r>
          </w:p>
        </w:tc>
        <w:tc>
          <w:tcPr>
            <w:tcW w:type="dxa" w:w="2016"/>
            <w:vAlign w:val="center"/>
          </w:tcPr>
          <w:p>
            <w:r/>
            <w:r>
              <w:rPr>
                <w:b w:val="0"/>
                <w:sz w:val="19"/>
              </w:rPr>
              <w:t>Informatique</w:t>
            </w:r>
          </w:p>
        </w:tc>
        <w:tc>
          <w:tcPr>
            <w:tcW w:type="dxa" w:w="2016"/>
            <w:vAlign w:val="center"/>
          </w:tcPr>
          <w:p>
            <w:r/>
            <w:r>
              <w:rPr>
                <w:b w:val="0"/>
                <w:sz w:val="19"/>
              </w:rPr>
              <w:t>1579.93</w:t>
            </w:r>
          </w:p>
        </w:tc>
        <w:tc>
          <w:tcPr>
            <w:tcW w:type="dxa" w:w="2016"/>
            <w:vAlign w:val="center"/>
          </w:tcPr>
          <w:p>
            <w:r/>
            <w:r>
              <w:rPr>
                <w:b w:val="0"/>
                <w:sz w:val="19"/>
              </w:rPr>
              <w:t>3</w:t>
            </w:r>
          </w:p>
        </w:tc>
        <w:tc>
          <w:tcPr>
            <w:tcW w:type="dxa" w:w="2016"/>
            <w:vAlign w:val="center"/>
          </w:tcPr>
          <w:p>
            <w:r/>
            <w:r>
              <w:rPr>
                <w:b w:val="0"/>
                <w:sz w:val="19"/>
              </w:rPr>
              <w:t>526.64</w:t>
            </w:r>
          </w:p>
        </w:tc>
      </w:tr>
      <w:tr>
        <w:tc>
          <w:tcPr>
            <w:tcW w:type="dxa" w:w="2016"/>
            <w:vAlign w:val="center"/>
          </w:tcPr>
          <w:p>
            <w:r/>
            <w:r>
              <w:rPr>
                <w:b w:val="0"/>
                <w:sz w:val="19"/>
              </w:rPr>
              <w:t>Ouest</w:t>
            </w:r>
          </w:p>
        </w:tc>
        <w:tc>
          <w:tcPr>
            <w:tcW w:type="dxa" w:w="2016"/>
            <w:vAlign w:val="center"/>
          </w:tcPr>
          <w:p>
            <w:r/>
            <w:r>
              <w:rPr>
                <w:b w:val="0"/>
                <w:sz w:val="19"/>
              </w:rPr>
              <w:t>Mobilier</w:t>
            </w:r>
          </w:p>
        </w:tc>
        <w:tc>
          <w:tcPr>
            <w:tcW w:type="dxa" w:w="2016"/>
            <w:vAlign w:val="center"/>
          </w:tcPr>
          <w:p>
            <w:r/>
            <w:r>
              <w:rPr>
                <w:b w:val="0"/>
                <w:sz w:val="19"/>
              </w:rPr>
              <w:t>729.98</w:t>
            </w:r>
          </w:p>
        </w:tc>
        <w:tc>
          <w:tcPr>
            <w:tcW w:type="dxa" w:w="2016"/>
            <w:vAlign w:val="center"/>
          </w:tcPr>
          <w:p>
            <w:r/>
            <w:r>
              <w:rPr>
                <w:b w:val="0"/>
                <w:sz w:val="19"/>
              </w:rPr>
              <w:t>2</w:t>
            </w:r>
          </w:p>
        </w:tc>
        <w:tc>
          <w:tcPr>
            <w:tcW w:type="dxa" w:w="2016"/>
            <w:vAlign w:val="center"/>
          </w:tcPr>
          <w:p>
            <w:r/>
            <w:r>
              <w:rPr>
                <w:b w:val="0"/>
                <w:sz w:val="19"/>
              </w:rPr>
              <w:t>364.99</w:t>
            </w:r>
          </w:p>
        </w:tc>
      </w:tr>
      <w:tr>
        <w:tc>
          <w:tcPr>
            <w:tcW w:type="dxa" w:w="2016"/>
            <w:vAlign w:val="center"/>
          </w:tcPr>
          <w:p>
            <w:r/>
            <w:r>
              <w:rPr>
                <w:b w:val="0"/>
                <w:sz w:val="19"/>
              </w:rPr>
              <w:t>Sud</w:t>
            </w:r>
          </w:p>
        </w:tc>
        <w:tc>
          <w:tcPr>
            <w:tcW w:type="dxa" w:w="2016"/>
            <w:vAlign w:val="center"/>
          </w:tcPr>
          <w:p>
            <w:r/>
            <w:r>
              <w:rPr>
                <w:b w:val="0"/>
                <w:sz w:val="19"/>
              </w:rPr>
              <w:t>Informatique</w:t>
            </w:r>
          </w:p>
        </w:tc>
        <w:tc>
          <w:tcPr>
            <w:tcW w:type="dxa" w:w="2016"/>
            <w:vAlign w:val="center"/>
          </w:tcPr>
          <w:p>
            <w:r/>
            <w:r>
              <w:rPr>
                <w:b w:val="0"/>
                <w:sz w:val="19"/>
              </w:rPr>
              <w:t>699.96</w:t>
            </w:r>
          </w:p>
        </w:tc>
        <w:tc>
          <w:tcPr>
            <w:tcW w:type="dxa" w:w="2016"/>
            <w:vAlign w:val="center"/>
          </w:tcPr>
          <w:p>
            <w:r/>
            <w:r>
              <w:rPr>
                <w:b w:val="0"/>
                <w:sz w:val="19"/>
              </w:rPr>
              <w:t>3</w:t>
            </w:r>
          </w:p>
        </w:tc>
        <w:tc>
          <w:tcPr>
            <w:tcW w:type="dxa" w:w="2016"/>
            <w:vAlign w:val="center"/>
          </w:tcPr>
          <w:p>
            <w:r/>
            <w:r>
              <w:rPr>
                <w:b w:val="0"/>
                <w:sz w:val="19"/>
              </w:rPr>
              <w:t>233.32</w:t>
            </w:r>
          </w:p>
        </w:tc>
      </w:tr>
      <w:tr>
        <w:tc>
          <w:tcPr>
            <w:tcW w:type="dxa" w:w="2016"/>
            <w:vAlign w:val="center"/>
          </w:tcPr>
          <w:p>
            <w:r/>
            <w:r>
              <w:rPr>
                <w:b w:val="0"/>
                <w:sz w:val="19"/>
              </w:rPr>
              <w:t>Sud</w:t>
            </w:r>
          </w:p>
        </w:tc>
        <w:tc>
          <w:tcPr>
            <w:tcW w:type="dxa" w:w="2016"/>
            <w:vAlign w:val="center"/>
          </w:tcPr>
          <w:p>
            <w:r/>
            <w:r>
              <w:rPr>
                <w:b w:val="0"/>
                <w:sz w:val="19"/>
              </w:rPr>
              <w:t>Mobilier</w:t>
            </w:r>
          </w:p>
        </w:tc>
        <w:tc>
          <w:tcPr>
            <w:tcW w:type="dxa" w:w="2016"/>
            <w:vAlign w:val="center"/>
          </w:tcPr>
          <w:p>
            <w:r/>
            <w:r>
              <w:rPr>
                <w:b w:val="0"/>
                <w:sz w:val="19"/>
              </w:rPr>
              <w:t>449.99</w:t>
            </w:r>
          </w:p>
        </w:tc>
        <w:tc>
          <w:tcPr>
            <w:tcW w:type="dxa" w:w="2016"/>
            <w:vAlign w:val="center"/>
          </w:tcPr>
          <w:p>
            <w:r/>
            <w:r>
              <w:rPr>
                <w:b w:val="0"/>
                <w:sz w:val="19"/>
              </w:rPr>
              <w:t>1</w:t>
            </w:r>
          </w:p>
        </w:tc>
        <w:tc>
          <w:tcPr>
            <w:tcW w:type="dxa" w:w="2016"/>
            <w:vAlign w:val="center"/>
          </w:tcPr>
          <w:p>
            <w:r/>
            <w:r>
              <w:rPr>
                <w:b w:val="0"/>
                <w:sz w:val="19"/>
              </w:rPr>
              <w:t>449.99</w:t>
            </w:r>
          </w:p>
        </w:tc>
      </w:tr>
      <w:tr>
        <w:tc>
          <w:tcPr>
            <w:tcW w:type="dxa" w:w="2016"/>
            <w:vAlign w:val="center"/>
          </w:tcPr>
          <w:p>
            <w:r/>
            <w:r>
              <w:rPr>
                <w:b w:val="0"/>
                <w:sz w:val="19"/>
              </w:rPr>
              <w:t>Nord</w:t>
            </w:r>
          </w:p>
        </w:tc>
        <w:tc>
          <w:tcPr>
            <w:tcW w:type="dxa" w:w="2016"/>
            <w:vAlign w:val="center"/>
          </w:tcPr>
          <w:p>
            <w:r/>
            <w:r>
              <w:rPr>
                <w:b w:val="0"/>
                <w:sz w:val="19"/>
              </w:rPr>
              <w:t>Mobilier</w:t>
            </w:r>
          </w:p>
        </w:tc>
        <w:tc>
          <w:tcPr>
            <w:tcW w:type="dxa" w:w="2016"/>
            <w:vAlign w:val="center"/>
          </w:tcPr>
          <w:p>
            <w:r/>
            <w:r>
              <w:rPr>
                <w:b w:val="0"/>
                <w:sz w:val="19"/>
              </w:rPr>
              <w:t>349.99</w:t>
            </w:r>
          </w:p>
        </w:tc>
        <w:tc>
          <w:tcPr>
            <w:tcW w:type="dxa" w:w="2016"/>
            <w:vAlign w:val="center"/>
          </w:tcPr>
          <w:p>
            <w:r/>
            <w:r>
              <w:rPr>
                <w:b w:val="0"/>
                <w:sz w:val="19"/>
              </w:rPr>
              <w:t>1</w:t>
            </w:r>
          </w:p>
        </w:tc>
        <w:tc>
          <w:tcPr>
            <w:tcW w:type="dxa" w:w="2016"/>
            <w:vAlign w:val="center"/>
          </w:tcPr>
          <w:p>
            <w:r/>
            <w:r>
              <w:rPr>
                <w:b w:val="0"/>
                <w:sz w:val="19"/>
              </w:rPr>
              <w:t>349.99</w:t>
            </w:r>
          </w:p>
        </w:tc>
      </w:tr>
      <w:tr>
        <w:tc>
          <w:tcPr>
            <w:tcW w:type="dxa" w:w="2016"/>
            <w:vAlign w:val="center"/>
          </w:tcPr>
          <w:p>
            <w:r/>
            <w:r>
              <w:rPr>
                <w:b w:val="0"/>
                <w:sz w:val="19"/>
              </w:rPr>
              <w:t>Ouest</w:t>
            </w:r>
          </w:p>
        </w:tc>
        <w:tc>
          <w:tcPr>
            <w:tcW w:type="dxa" w:w="2016"/>
            <w:vAlign w:val="center"/>
          </w:tcPr>
          <w:p>
            <w:r/>
            <w:r>
              <w:rPr>
                <w:b w:val="0"/>
                <w:sz w:val="19"/>
              </w:rPr>
              <w:t>Informatique</w:t>
            </w:r>
          </w:p>
        </w:tc>
        <w:tc>
          <w:tcPr>
            <w:tcW w:type="dxa" w:w="2016"/>
            <w:vAlign w:val="center"/>
          </w:tcPr>
          <w:p>
            <w:r/>
            <w:r>
              <w:rPr>
                <w:b w:val="0"/>
                <w:sz w:val="19"/>
              </w:rPr>
              <w:t>199.99</w:t>
            </w:r>
          </w:p>
        </w:tc>
        <w:tc>
          <w:tcPr>
            <w:tcW w:type="dxa" w:w="2016"/>
            <w:vAlign w:val="center"/>
          </w:tcPr>
          <w:p>
            <w:r/>
            <w:r>
              <w:rPr>
                <w:b w:val="0"/>
                <w:sz w:val="19"/>
              </w:rPr>
              <w:t>1</w:t>
            </w:r>
          </w:p>
        </w:tc>
        <w:tc>
          <w:tcPr>
            <w:tcW w:type="dxa" w:w="2016"/>
            <w:vAlign w:val="center"/>
          </w:tcPr>
          <w:p>
            <w:r/>
            <w:r>
              <w:rPr>
                <w:b w:val="0"/>
                <w:sz w:val="19"/>
              </w:rPr>
              <w:t>199.99</w:t>
            </w:r>
          </w:p>
        </w:tc>
      </w:tr>
      <w:tr>
        <w:tc>
          <w:tcPr>
            <w:tcW w:type="dxa" w:w="2016"/>
            <w:vAlign w:val="center"/>
          </w:tcPr>
          <w:p>
            <w:r/>
            <w:r>
              <w:rPr>
                <w:b w:val="0"/>
                <w:sz w:val="19"/>
              </w:rPr>
              <w:t>Est</w:t>
            </w:r>
          </w:p>
        </w:tc>
        <w:tc>
          <w:tcPr>
            <w:tcW w:type="dxa" w:w="2016"/>
            <w:vAlign w:val="center"/>
          </w:tcPr>
          <w:p>
            <w:r/>
            <w:r>
              <w:rPr>
                <w:b w:val="0"/>
                <w:sz w:val="19"/>
              </w:rPr>
              <w:t>Informatique</w:t>
            </w:r>
          </w:p>
        </w:tc>
        <w:tc>
          <w:tcPr>
            <w:tcW w:type="dxa" w:w="2016"/>
            <w:vAlign w:val="center"/>
          </w:tcPr>
          <w:p>
            <w:r/>
            <w:r>
              <w:rPr>
                <w:b w:val="0"/>
                <w:sz w:val="19"/>
              </w:rPr>
              <w:t>179.98</w:t>
            </w:r>
          </w:p>
        </w:tc>
        <w:tc>
          <w:tcPr>
            <w:tcW w:type="dxa" w:w="2016"/>
            <w:vAlign w:val="center"/>
          </w:tcPr>
          <w:p>
            <w:r/>
            <w:r>
              <w:rPr>
                <w:b w:val="0"/>
                <w:sz w:val="19"/>
              </w:rPr>
              <w:t>1</w:t>
            </w:r>
          </w:p>
        </w:tc>
        <w:tc>
          <w:tcPr>
            <w:tcW w:type="dxa" w:w="2016"/>
            <w:vAlign w:val="center"/>
          </w:tcPr>
          <w:p>
            <w:r/>
            <w:r>
              <w:rPr>
                <w:b w:val="0"/>
                <w:sz w:val="19"/>
              </w:rPr>
              <w:t>179.98</w:t>
            </w:r>
          </w:p>
        </w:tc>
      </w:tr>
      <w:tr>
        <w:tc>
          <w:tcPr>
            <w:tcW w:type="dxa" w:w="2016"/>
            <w:vAlign w:val="center"/>
          </w:tcPr>
          <w:p>
            <w:r/>
            <w:r>
              <w:rPr>
                <w:b w:val="0"/>
                <w:sz w:val="19"/>
              </w:rPr>
              <w:t>Est</w:t>
            </w:r>
          </w:p>
        </w:tc>
        <w:tc>
          <w:tcPr>
            <w:tcW w:type="dxa" w:w="2016"/>
            <w:vAlign w:val="center"/>
          </w:tcPr>
          <w:p>
            <w:r/>
            <w:r>
              <w:rPr>
                <w:b w:val="0"/>
                <w:sz w:val="19"/>
              </w:rPr>
              <w:t>Mobilier</w:t>
            </w:r>
          </w:p>
        </w:tc>
        <w:tc>
          <w:tcPr>
            <w:tcW w:type="dxa" w:w="2016"/>
            <w:vAlign w:val="center"/>
          </w:tcPr>
          <w:p>
            <w:r/>
            <w:r>
              <w:rPr>
                <w:b w:val="0"/>
                <w:sz w:val="19"/>
              </w:rPr>
              <w:t>149.97</w:t>
            </w:r>
          </w:p>
        </w:tc>
        <w:tc>
          <w:tcPr>
            <w:tcW w:type="dxa" w:w="2016"/>
            <w:vAlign w:val="center"/>
          </w:tcPr>
          <w:p>
            <w:r/>
            <w:r>
              <w:rPr>
                <w:b w:val="0"/>
                <w:sz w:val="19"/>
              </w:rPr>
              <w:t>1</w:t>
            </w:r>
          </w:p>
        </w:tc>
        <w:tc>
          <w:tcPr>
            <w:tcW w:type="dxa" w:w="2016"/>
            <w:vAlign w:val="center"/>
          </w:tcPr>
          <w:p>
            <w:r/>
            <w:r>
              <w:rPr>
                <w:b w:val="0"/>
                <w:sz w:val="19"/>
              </w:rPr>
              <w:t>149.97</w:t>
            </w:r>
          </w:p>
        </w:tc>
      </w:tr>
    </w:tbl>
    <w:p/>
    <w:p>
      <w:pPr>
        <w:pStyle w:val="Heading3"/>
      </w:pPr>
      <w:r>
        <w:t>Table Gold 2 : Évolution mensuelle du CA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9"/>
              </w:rPr>
              <w:t>annee</w:t>
            </w:r>
          </w:p>
        </w:tc>
        <w:tc>
          <w:tcPr>
            <w:tcW w:type="dxa" w:w="2016"/>
            <w:shd w:fill="D9EAF7"/>
          </w:tcPr>
          <w:p>
            <w:r/>
            <w:r>
              <w:rPr>
                <w:b/>
                <w:sz w:val="19"/>
              </w:rPr>
              <w:t>mois</w:t>
            </w:r>
          </w:p>
        </w:tc>
        <w:tc>
          <w:tcPr>
            <w:tcW w:type="dxa" w:w="2016"/>
            <w:shd w:fill="D9EAF7"/>
          </w:tcPr>
          <w:p>
            <w:r/>
            <w:r>
              <w:rPr>
                <w:b/>
                <w:sz w:val="19"/>
              </w:rPr>
              <w:t>ca_mensuel</w:t>
            </w:r>
          </w:p>
        </w:tc>
        <w:tc>
          <w:tcPr>
            <w:tcW w:type="dxa" w:w="2016"/>
            <w:shd w:fill="D9EAF7"/>
          </w:tcPr>
          <w:p>
            <w:r/>
            <w:r>
              <w:rPr>
                <w:b/>
                <w:sz w:val="19"/>
              </w:rPr>
              <w:t>nb_commandes</w:t>
            </w:r>
          </w:p>
        </w:tc>
        <w:tc>
          <w:tcPr>
            <w:tcW w:type="dxa" w:w="2016"/>
            <w:shd w:fill="D9EAF7"/>
          </w:tcPr>
          <w:p>
            <w:r/>
            <w:r>
              <w:rPr>
                <w:b/>
                <w:sz w:val="19"/>
              </w:rPr>
              <w:t>clients_actifs</w:t>
            </w:r>
          </w:p>
        </w:tc>
      </w:tr>
      <w:tr>
        <w:tc>
          <w:tcPr>
            <w:tcW w:type="dxa" w:w="2016"/>
            <w:vAlign w:val="center"/>
          </w:tcPr>
          <w:p>
            <w:r/>
            <w:r>
              <w:rPr>
                <w:b w:val="0"/>
                <w:sz w:val="19"/>
              </w:rPr>
              <w:t>2024.00</w:t>
            </w:r>
          </w:p>
        </w:tc>
        <w:tc>
          <w:tcPr>
            <w:tcW w:type="dxa" w:w="2016"/>
            <w:vAlign w:val="center"/>
          </w:tcPr>
          <w:p>
            <w:r/>
            <w:r>
              <w:rPr>
                <w:b w:val="0"/>
                <w:sz w:val="19"/>
              </w:rPr>
              <w:t>1.00</w:t>
            </w:r>
          </w:p>
        </w:tc>
        <w:tc>
          <w:tcPr>
            <w:tcW w:type="dxa" w:w="2016"/>
            <w:vAlign w:val="center"/>
          </w:tcPr>
          <w:p>
            <w:r/>
            <w:r>
              <w:rPr>
                <w:b w:val="0"/>
                <w:sz w:val="19"/>
              </w:rPr>
              <w:t>2749.89</w:t>
            </w:r>
          </w:p>
        </w:tc>
        <w:tc>
          <w:tcPr>
            <w:tcW w:type="dxa" w:w="2016"/>
            <w:vAlign w:val="center"/>
          </w:tcPr>
          <w:p>
            <w:r/>
            <w:r>
              <w:rPr>
                <w:b w:val="0"/>
                <w:sz w:val="19"/>
              </w:rPr>
              <w:t>7.00</w:t>
            </w:r>
          </w:p>
        </w:tc>
        <w:tc>
          <w:tcPr>
            <w:tcW w:type="dxa" w:w="2016"/>
            <w:vAlign w:val="center"/>
          </w:tcPr>
          <w:p>
            <w:r/>
            <w:r>
              <w:rPr>
                <w:b w:val="0"/>
                <w:sz w:val="19"/>
              </w:rPr>
              <w:t>5.00</w:t>
            </w:r>
          </w:p>
        </w:tc>
      </w:tr>
      <w:tr>
        <w:tc>
          <w:tcPr>
            <w:tcW w:type="dxa" w:w="2016"/>
            <w:vAlign w:val="center"/>
          </w:tcPr>
          <w:p>
            <w:r/>
            <w:r>
              <w:rPr>
                <w:b w:val="0"/>
                <w:sz w:val="19"/>
              </w:rPr>
              <w:t>2024.00</w:t>
            </w:r>
          </w:p>
        </w:tc>
        <w:tc>
          <w:tcPr>
            <w:tcW w:type="dxa" w:w="2016"/>
            <w:vAlign w:val="center"/>
          </w:tcPr>
          <w:p>
            <w:r/>
            <w:r>
              <w:rPr>
                <w:b w:val="0"/>
                <w:sz w:val="19"/>
              </w:rPr>
              <w:t>2.00</w:t>
            </w:r>
          </w:p>
        </w:tc>
        <w:tc>
          <w:tcPr>
            <w:tcW w:type="dxa" w:w="2016"/>
            <w:vAlign w:val="center"/>
          </w:tcPr>
          <w:p>
            <w:r/>
            <w:r>
              <w:rPr>
                <w:b w:val="0"/>
                <w:sz w:val="19"/>
              </w:rPr>
              <w:t>959.93</w:t>
            </w:r>
          </w:p>
        </w:tc>
        <w:tc>
          <w:tcPr>
            <w:tcW w:type="dxa" w:w="2016"/>
            <w:vAlign w:val="center"/>
          </w:tcPr>
          <w:p>
            <w:r/>
            <w:r>
              <w:rPr>
                <w:b w:val="0"/>
                <w:sz w:val="19"/>
              </w:rPr>
              <w:t>4.00</w:t>
            </w:r>
          </w:p>
        </w:tc>
        <w:tc>
          <w:tcPr>
            <w:tcW w:type="dxa" w:w="2016"/>
            <w:vAlign w:val="center"/>
          </w:tcPr>
          <w:p>
            <w:r/>
            <w:r>
              <w:rPr>
                <w:b w:val="0"/>
                <w:sz w:val="19"/>
              </w:rPr>
              <w:t>4.00</w:t>
            </w:r>
          </w:p>
        </w:tc>
      </w:tr>
      <w:tr>
        <w:tc>
          <w:tcPr>
            <w:tcW w:type="dxa" w:w="2016"/>
            <w:vAlign w:val="center"/>
          </w:tcPr>
          <w:p>
            <w:r/>
            <w:r>
              <w:rPr>
                <w:b w:val="0"/>
                <w:sz w:val="19"/>
              </w:rPr>
              <w:t>2024.00</w:t>
            </w:r>
          </w:p>
        </w:tc>
        <w:tc>
          <w:tcPr>
            <w:tcW w:type="dxa" w:w="2016"/>
            <w:vAlign w:val="center"/>
          </w:tcPr>
          <w:p>
            <w:r/>
            <w:r>
              <w:rPr>
                <w:b w:val="0"/>
                <w:sz w:val="19"/>
              </w:rPr>
              <w:t>3.00</w:t>
            </w:r>
          </w:p>
        </w:tc>
        <w:tc>
          <w:tcPr>
            <w:tcW w:type="dxa" w:w="2016"/>
            <w:vAlign w:val="center"/>
          </w:tcPr>
          <w:p>
            <w:r/>
            <w:r>
              <w:rPr>
                <w:b w:val="0"/>
                <w:sz w:val="19"/>
              </w:rPr>
              <w:t>629.97</w:t>
            </w:r>
          </w:p>
        </w:tc>
        <w:tc>
          <w:tcPr>
            <w:tcW w:type="dxa" w:w="2016"/>
            <w:vAlign w:val="center"/>
          </w:tcPr>
          <w:p>
            <w:r/>
            <w:r>
              <w:rPr>
                <w:b w:val="0"/>
                <w:sz w:val="19"/>
              </w:rPr>
              <w:t>2.00</w:t>
            </w:r>
          </w:p>
        </w:tc>
        <w:tc>
          <w:tcPr>
            <w:tcW w:type="dxa" w:w="2016"/>
            <w:vAlign w:val="center"/>
          </w:tcPr>
          <w:p>
            <w:r/>
            <w:r>
              <w:rPr>
                <w:b w:val="0"/>
                <w:sz w:val="19"/>
              </w:rPr>
              <w:t>2.00</w:t>
            </w:r>
          </w:p>
        </w:tc>
      </w:tr>
    </w:tbl>
    <w:p/>
    <w:p>
      <w:pPr>
        <w:pStyle w:val="Heading3"/>
      </w:pPr>
      <w:r>
        <w:t>Table Gold 3 : Top 5 produits par CA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9"/>
              </w:rPr>
              <w:t>produit</w:t>
            </w:r>
          </w:p>
        </w:tc>
        <w:tc>
          <w:tcPr>
            <w:tcW w:type="dxa" w:w="2520"/>
            <w:shd w:fill="D9EAF7"/>
          </w:tcPr>
          <w:p>
            <w:r/>
            <w:r>
              <w:rPr>
                <w:b/>
                <w:sz w:val="19"/>
              </w:rPr>
              <w:t>categorie</w:t>
            </w:r>
          </w:p>
        </w:tc>
        <w:tc>
          <w:tcPr>
            <w:tcW w:type="dxa" w:w="2520"/>
            <w:shd w:fill="D9EAF7"/>
          </w:tcPr>
          <w:p>
            <w:r/>
            <w:r>
              <w:rPr>
                <w:b/>
                <w:sz w:val="19"/>
              </w:rPr>
              <w:t>ca_produit</w:t>
            </w:r>
          </w:p>
        </w:tc>
        <w:tc>
          <w:tcPr>
            <w:tcW w:type="dxa" w:w="2520"/>
            <w:shd w:fill="D9EAF7"/>
          </w:tcPr>
          <w:p>
            <w:r/>
            <w:r>
              <w:rPr>
                <w:b/>
                <w:sz w:val="19"/>
              </w:rPr>
              <w:t>unites_vendues</w:t>
            </w:r>
          </w:p>
        </w:tc>
      </w:tr>
      <w:tr>
        <w:tc>
          <w:tcPr>
            <w:tcW w:type="dxa" w:w="2520"/>
            <w:vAlign w:val="center"/>
          </w:tcPr>
          <w:p>
            <w:r/>
            <w:r>
              <w:rPr>
                <w:b w:val="0"/>
                <w:sz w:val="19"/>
              </w:rPr>
              <w:t>Laptop Dell</w:t>
            </w:r>
          </w:p>
        </w:tc>
        <w:tc>
          <w:tcPr>
            <w:tcW w:type="dxa" w:w="2520"/>
            <w:vAlign w:val="center"/>
          </w:tcPr>
          <w:p>
            <w:r/>
            <w:r>
              <w:rPr>
                <w:b w:val="0"/>
                <w:sz w:val="19"/>
              </w:rPr>
              <w:t>Informatique</w:t>
            </w:r>
          </w:p>
        </w:tc>
        <w:tc>
          <w:tcPr>
            <w:tcW w:type="dxa" w:w="2520"/>
            <w:vAlign w:val="center"/>
          </w:tcPr>
          <w:p>
            <w:r/>
            <w:r>
              <w:rPr>
                <w:b w:val="0"/>
                <w:sz w:val="19"/>
              </w:rPr>
              <w:t>899.99</w:t>
            </w:r>
          </w:p>
        </w:tc>
        <w:tc>
          <w:tcPr>
            <w:tcW w:type="dxa" w:w="2520"/>
            <w:vAlign w:val="center"/>
          </w:tcPr>
          <w:p>
            <w:r/>
            <w:r>
              <w:rPr>
                <w:b w:val="0"/>
                <w:sz w:val="19"/>
              </w:rPr>
              <w:t>1</w:t>
            </w:r>
          </w:p>
        </w:tc>
      </w:tr>
      <w:tr>
        <w:tc>
          <w:tcPr>
            <w:tcW w:type="dxa" w:w="2520"/>
            <w:vAlign w:val="center"/>
          </w:tcPr>
          <w:p>
            <w:r/>
            <w:r>
              <w:rPr>
                <w:b w:val="0"/>
                <w:sz w:val="19"/>
              </w:rPr>
              <w:t>Bureau Debout</w:t>
            </w:r>
          </w:p>
        </w:tc>
        <w:tc>
          <w:tcPr>
            <w:tcW w:type="dxa" w:w="2520"/>
            <w:vAlign w:val="center"/>
          </w:tcPr>
          <w:p>
            <w:r/>
            <w:r>
              <w:rPr>
                <w:b w:val="0"/>
                <w:sz w:val="19"/>
              </w:rPr>
              <w:t>Mobilier</w:t>
            </w:r>
          </w:p>
        </w:tc>
        <w:tc>
          <w:tcPr>
            <w:tcW w:type="dxa" w:w="2520"/>
            <w:vAlign w:val="center"/>
          </w:tcPr>
          <w:p>
            <w:r/>
            <w:r>
              <w:rPr>
                <w:b w:val="0"/>
                <w:sz w:val="19"/>
              </w:rPr>
              <w:t>599.99</w:t>
            </w:r>
          </w:p>
        </w:tc>
        <w:tc>
          <w:tcPr>
            <w:tcW w:type="dxa" w:w="2520"/>
            <w:vAlign w:val="center"/>
          </w:tcPr>
          <w:p>
            <w:r/>
            <w:r>
              <w:rPr>
                <w:b w:val="0"/>
                <w:sz w:val="19"/>
              </w:rPr>
              <w:t>1</w:t>
            </w:r>
          </w:p>
        </w:tc>
      </w:tr>
      <w:tr>
        <w:tc>
          <w:tcPr>
            <w:tcW w:type="dxa" w:w="2520"/>
            <w:vAlign w:val="center"/>
          </w:tcPr>
          <w:p>
            <w:r/>
            <w:r>
              <w:rPr>
                <w:b w:val="0"/>
                <w:sz w:val="19"/>
              </w:rPr>
              <w:t>Moniteur LG</w:t>
            </w:r>
          </w:p>
        </w:tc>
        <w:tc>
          <w:tcPr>
            <w:tcW w:type="dxa" w:w="2520"/>
            <w:vAlign w:val="center"/>
          </w:tcPr>
          <w:p>
            <w:r/>
            <w:r>
              <w:rPr>
                <w:b w:val="0"/>
                <w:sz w:val="19"/>
              </w:rPr>
              <w:t>Informatique</w:t>
            </w:r>
          </w:p>
        </w:tc>
        <w:tc>
          <w:tcPr>
            <w:tcW w:type="dxa" w:w="2520"/>
            <w:vAlign w:val="center"/>
          </w:tcPr>
          <w:p>
            <w:r/>
            <w:r>
              <w:rPr>
                <w:b w:val="0"/>
                <w:sz w:val="19"/>
              </w:rPr>
              <w:t>599.98</w:t>
            </w:r>
          </w:p>
        </w:tc>
        <w:tc>
          <w:tcPr>
            <w:tcW w:type="dxa" w:w="2520"/>
            <w:vAlign w:val="center"/>
          </w:tcPr>
          <w:p>
            <w:r/>
            <w:r>
              <w:rPr>
                <w:b w:val="0"/>
                <w:sz w:val="19"/>
              </w:rPr>
              <w:t>2</w:t>
            </w:r>
          </w:p>
        </w:tc>
      </w:tr>
      <w:tr>
        <w:tc>
          <w:tcPr>
            <w:tcW w:type="dxa" w:w="2520"/>
            <w:vAlign w:val="center"/>
          </w:tcPr>
          <w:p>
            <w:r/>
            <w:r>
              <w:rPr>
                <w:b w:val="0"/>
                <w:sz w:val="19"/>
              </w:rPr>
              <w:t>Tablette iPad</w:t>
            </w:r>
          </w:p>
        </w:tc>
        <w:tc>
          <w:tcPr>
            <w:tcW w:type="dxa" w:w="2520"/>
            <w:vAlign w:val="center"/>
          </w:tcPr>
          <w:p>
            <w:r/>
            <w:r>
              <w:rPr>
                <w:b w:val="0"/>
                <w:sz w:val="19"/>
              </w:rPr>
              <w:t>Informatique</w:t>
            </w:r>
          </w:p>
        </w:tc>
        <w:tc>
          <w:tcPr>
            <w:tcW w:type="dxa" w:w="2520"/>
            <w:vAlign w:val="center"/>
          </w:tcPr>
          <w:p>
            <w:r/>
            <w:r>
              <w:rPr>
                <w:b w:val="0"/>
                <w:sz w:val="19"/>
              </w:rPr>
              <w:t>549.99</w:t>
            </w:r>
          </w:p>
        </w:tc>
        <w:tc>
          <w:tcPr>
            <w:tcW w:type="dxa" w:w="2520"/>
            <w:vAlign w:val="center"/>
          </w:tcPr>
          <w:p>
            <w:r/>
            <w:r>
              <w:rPr>
                <w:b w:val="0"/>
                <w:sz w:val="19"/>
              </w:rPr>
              <w:t>1</w:t>
            </w:r>
          </w:p>
        </w:tc>
      </w:tr>
      <w:tr>
        <w:tc>
          <w:tcPr>
            <w:tcW w:type="dxa" w:w="2520"/>
            <w:vAlign w:val="center"/>
          </w:tcPr>
          <w:p>
            <w:r/>
            <w:r>
              <w:rPr>
                <w:b w:val="0"/>
                <w:sz w:val="19"/>
              </w:rPr>
              <w:t>Armoire</w:t>
            </w:r>
          </w:p>
        </w:tc>
        <w:tc>
          <w:tcPr>
            <w:tcW w:type="dxa" w:w="2520"/>
            <w:vAlign w:val="center"/>
          </w:tcPr>
          <w:p>
            <w:r/>
            <w:r>
              <w:rPr>
                <w:b w:val="0"/>
                <w:sz w:val="19"/>
              </w:rPr>
              <w:t>Mobilier</w:t>
            </w:r>
          </w:p>
        </w:tc>
        <w:tc>
          <w:tcPr>
            <w:tcW w:type="dxa" w:w="2520"/>
            <w:vAlign w:val="center"/>
          </w:tcPr>
          <w:p>
            <w:r/>
            <w:r>
              <w:rPr>
                <w:b w:val="0"/>
                <w:sz w:val="19"/>
              </w:rPr>
              <w:t>449.99</w:t>
            </w:r>
          </w:p>
        </w:tc>
        <w:tc>
          <w:tcPr>
            <w:tcW w:type="dxa" w:w="2520"/>
            <w:vAlign w:val="center"/>
          </w:tcPr>
          <w:p>
            <w:r/>
            <w:r>
              <w:rPr>
                <w:b w:val="0"/>
                <w:sz w:val="19"/>
              </w:rPr>
              <w:t>1</w:t>
            </w:r>
          </w:p>
        </w:tc>
      </w:tr>
    </w:tbl>
    <w:p/>
    <w:p>
      <w:pPr>
        <w:pStyle w:val="Heading1"/>
      </w:pPr>
      <w:r>
        <w:t>7. Visualisation des résultats</w:t>
      </w:r>
    </w:p>
    <w:p>
      <w:r>
        <w:t>La visualisation suivante présente le chiffre d’affaires total par région et l’évolution mensuelle du chiffre d’affaires.</w:t>
      </w:r>
    </w:p>
    <w:p>
      <w:r>
        <w:drawing>
          <wp:inline xmlns:a="http://schemas.openxmlformats.org/drawingml/2006/main" xmlns:pic="http://schemas.openxmlformats.org/drawingml/2006/picture">
            <wp:extent cx="6126480" cy="2251530"/>
            <wp:docPr id="1" name="Picture 1"/>
            <wp:cNvGraphicFramePr>
              <a:graphicFrameLocks noChangeAspect="1"/>
            </wp:cNvGraphicFramePr>
            <a:graphic>
              <a:graphicData uri="http://schemas.openxmlformats.org/drawingml/2006/picture">
                <pic:pic>
                  <pic:nvPicPr>
                    <pic:cNvPr id="0" name="gold_visualization.png"/>
                    <pic:cNvPicPr/>
                  </pic:nvPicPr>
                  <pic:blipFill>
                    <a:blip r:embed="rId9"/>
                    <a:stretch>
                      <a:fillRect/>
                    </a:stretch>
                  </pic:blipFill>
                  <pic:spPr>
                    <a:xfrm>
                      <a:off x="0" y="0"/>
                      <a:ext cx="6126480" cy="2251530"/>
                    </a:xfrm>
                    <a:prstGeom prst="rect"/>
                  </pic:spPr>
                </pic:pic>
              </a:graphicData>
            </a:graphic>
          </wp:inline>
        </w:drawing>
      </w:r>
    </w:p>
    <w:p>
      <w:pPr>
        <w:pStyle w:val="Heading1"/>
      </w:pPr>
      <w:r>
        <w:t>8. Comparaison Pandas vs DuckDB</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9"/>
              </w:rPr>
              <w:t>Critère</w:t>
            </w:r>
          </w:p>
        </w:tc>
        <w:tc>
          <w:tcPr>
            <w:tcW w:type="dxa" w:w="3360"/>
            <w:shd w:fill="D9EAF7"/>
          </w:tcPr>
          <w:p>
            <w:r/>
            <w:r>
              <w:rPr>
                <w:b/>
                <w:sz w:val="19"/>
              </w:rPr>
              <w:t>Pandas</w:t>
            </w:r>
          </w:p>
        </w:tc>
        <w:tc>
          <w:tcPr>
            <w:tcW w:type="dxa" w:w="3360"/>
            <w:shd w:fill="D9EAF7"/>
          </w:tcPr>
          <w:p>
            <w:r/>
            <w:r>
              <w:rPr>
                <w:b/>
                <w:sz w:val="19"/>
              </w:rPr>
              <w:t>DuckDB</w:t>
            </w:r>
          </w:p>
        </w:tc>
      </w:tr>
      <w:tr>
        <w:tc>
          <w:tcPr>
            <w:tcW w:type="dxa" w:w="3360"/>
            <w:vAlign w:val="center"/>
          </w:tcPr>
          <w:p>
            <w:r/>
            <w:r>
              <w:rPr>
                <w:b w:val="0"/>
                <w:sz w:val="19"/>
              </w:rPr>
              <w:t>Langage</w:t>
            </w:r>
          </w:p>
        </w:tc>
        <w:tc>
          <w:tcPr>
            <w:tcW w:type="dxa" w:w="3360"/>
            <w:vAlign w:val="center"/>
          </w:tcPr>
          <w:p>
            <w:r/>
            <w:r>
              <w:rPr>
                <w:b w:val="0"/>
                <w:sz w:val="19"/>
              </w:rPr>
              <w:t>Python pur</w:t>
            </w:r>
          </w:p>
        </w:tc>
        <w:tc>
          <w:tcPr>
            <w:tcW w:type="dxa" w:w="3360"/>
            <w:vAlign w:val="center"/>
          </w:tcPr>
          <w:p>
            <w:r/>
            <w:r>
              <w:rPr>
                <w:b w:val="0"/>
                <w:sz w:val="19"/>
              </w:rPr>
              <w:t>Python + SQL</w:t>
            </w:r>
          </w:p>
        </w:tc>
      </w:tr>
      <w:tr>
        <w:tc>
          <w:tcPr>
            <w:tcW w:type="dxa" w:w="3360"/>
            <w:vAlign w:val="center"/>
          </w:tcPr>
          <w:p>
            <w:r/>
            <w:r>
              <w:rPr>
                <w:b w:val="0"/>
                <w:sz w:val="19"/>
              </w:rPr>
              <w:t>Méthode</w:t>
            </w:r>
          </w:p>
        </w:tc>
        <w:tc>
          <w:tcPr>
            <w:tcW w:type="dxa" w:w="3360"/>
            <w:vAlign w:val="center"/>
          </w:tcPr>
          <w:p>
            <w:r/>
            <w:r>
              <w:rPr>
                <w:b w:val="0"/>
                <w:sz w:val="19"/>
              </w:rPr>
              <w:t>DataFrame en mémoire</w:t>
            </w:r>
          </w:p>
        </w:tc>
        <w:tc>
          <w:tcPr>
            <w:tcW w:type="dxa" w:w="3360"/>
            <w:vAlign w:val="center"/>
          </w:tcPr>
          <w:p>
            <w:r/>
            <w:r>
              <w:rPr>
                <w:b w:val="0"/>
                <w:sz w:val="19"/>
              </w:rPr>
              <w:t>Requêtes SQL avec moteur embarqué</w:t>
            </w:r>
          </w:p>
        </w:tc>
      </w:tr>
      <w:tr>
        <w:tc>
          <w:tcPr>
            <w:tcW w:type="dxa" w:w="3360"/>
            <w:vAlign w:val="center"/>
          </w:tcPr>
          <w:p>
            <w:r/>
            <w:r>
              <w:rPr>
                <w:b w:val="0"/>
                <w:sz w:val="19"/>
              </w:rPr>
              <w:t>Lisibilité</w:t>
            </w:r>
          </w:p>
        </w:tc>
        <w:tc>
          <w:tcPr>
            <w:tcW w:type="dxa" w:w="3360"/>
            <w:vAlign w:val="center"/>
          </w:tcPr>
          <w:p>
            <w:r/>
            <w:r>
              <w:rPr>
                <w:b w:val="0"/>
                <w:sz w:val="19"/>
              </w:rPr>
              <w:t>Très simple pour débuter</w:t>
            </w:r>
          </w:p>
        </w:tc>
        <w:tc>
          <w:tcPr>
            <w:tcW w:type="dxa" w:w="3360"/>
            <w:vAlign w:val="center"/>
          </w:tcPr>
          <w:p>
            <w:r/>
            <w:r>
              <w:rPr>
                <w:b w:val="0"/>
                <w:sz w:val="19"/>
              </w:rPr>
              <w:t>Très clair pour les personnes habituées au SQL</w:t>
            </w:r>
          </w:p>
        </w:tc>
      </w:tr>
      <w:tr>
        <w:tc>
          <w:tcPr>
            <w:tcW w:type="dxa" w:w="3360"/>
            <w:vAlign w:val="center"/>
          </w:tcPr>
          <w:p>
            <w:r/>
            <w:r>
              <w:rPr>
                <w:b w:val="0"/>
                <w:sz w:val="19"/>
              </w:rPr>
              <w:t>Scalabilité</w:t>
            </w:r>
          </w:p>
        </w:tc>
        <w:tc>
          <w:tcPr>
            <w:tcW w:type="dxa" w:w="3360"/>
            <w:vAlign w:val="center"/>
          </w:tcPr>
          <w:p>
            <w:r/>
            <w:r>
              <w:rPr>
                <w:b w:val="0"/>
                <w:sz w:val="19"/>
              </w:rPr>
              <w:t>Adapté aux petits volumes</w:t>
            </w:r>
          </w:p>
        </w:tc>
        <w:tc>
          <w:tcPr>
            <w:tcW w:type="dxa" w:w="3360"/>
            <w:vAlign w:val="center"/>
          </w:tcPr>
          <w:p>
            <w:r/>
            <w:r>
              <w:rPr>
                <w:b w:val="0"/>
                <w:sz w:val="19"/>
              </w:rPr>
              <w:t>Plus adapté aux volumes moyens</w:t>
            </w:r>
          </w:p>
        </w:tc>
      </w:tr>
      <w:tr>
        <w:tc>
          <w:tcPr>
            <w:tcW w:type="dxa" w:w="3360"/>
            <w:vAlign w:val="center"/>
          </w:tcPr>
          <w:p>
            <w:r/>
            <w:r>
              <w:rPr>
                <w:b w:val="0"/>
                <w:sz w:val="19"/>
              </w:rPr>
              <w:t>Usage recommandé</w:t>
            </w:r>
          </w:p>
        </w:tc>
        <w:tc>
          <w:tcPr>
            <w:tcW w:type="dxa" w:w="3360"/>
            <w:vAlign w:val="center"/>
          </w:tcPr>
          <w:p>
            <w:r/>
            <w:r>
              <w:rPr>
                <w:b w:val="0"/>
                <w:sz w:val="19"/>
              </w:rPr>
              <w:t>Prototypage et ETL léger</w:t>
            </w:r>
          </w:p>
        </w:tc>
        <w:tc>
          <w:tcPr>
            <w:tcW w:type="dxa" w:w="3360"/>
            <w:vAlign w:val="center"/>
          </w:tcPr>
          <w:p>
            <w:r/>
            <w:r>
              <w:rPr>
                <w:b w:val="0"/>
                <w:sz w:val="19"/>
              </w:rPr>
              <w:t>BI, reporting et analyses SQL</w:t>
            </w:r>
          </w:p>
        </w:tc>
      </w:tr>
    </w:tbl>
    <w:p/>
    <w:p>
      <w:pPr>
        <w:pStyle w:val="Heading1"/>
      </w:pPr>
      <w:r>
        <w:t>9. Conclusion</w:t>
      </w:r>
    </w:p>
    <w:p>
      <w:r>
        <w:t>Ce TP montre que l’architecture Medallion ne dépend pas d’un outil spécifique. Pandas et DuckDB permettent tous les deux de construire le même pipeline Bronze → Silver → Gold. La couche Bronze conserve les données brutes, la couche Silver garantit la qualité et la couche Gold fournit des indicateurs métier prêts pour la visualisation et la prise de décision.</w:t>
      </w:r>
    </w:p>
    <w:p>
      <w:r>
        <w:t>Dans cette réalisation, le pipeline final produit 13 lignes propres en Silver et un chiffre d’affaires total de 4339,79. Les résultats Gold peuvent être utilisés directement dans un tableau de bord BI.</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TP2 Pipeline Medallion - Hind Hilal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