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color w:val="1F3A6E"/>
          <w:sz w:val="96"/>
          <w:szCs w:val="96"/>
        </w:rPr>
        <w:t xml:space="preserve">APEX-1</w:t>
      </w:r>
    </w:p>
    <w:p>
      <w:pPr>
        <w:spacing w:before="0" w:after="80"/>
        <w:jc w:val="center"/>
      </w:pPr>
      <w:r>
        <w:rPr>
          <w:rFonts w:ascii="Arial" w:cs="Arial" w:eastAsia="Arial" w:hAnsi="Arial"/>
          <w:color w:val="4472C4"/>
          <w:sz w:val="48"/>
          <w:szCs w:val="48"/>
        </w:rPr>
        <w:t xml:space="preserve">AI Matrix Processor</w:t>
      </w:r>
    </w:p>
    <w:p>
      <w:pPr>
        <w:spacing w:before="0" w:after="400"/>
        <w:jc w:val="center"/>
      </w:pPr>
      <w:r>
        <w:rPr>
          <w:rFonts w:ascii="Arial" w:cs="Arial" w:eastAsia="Arial" w:hAnsi="Arial"/>
          <w:color w:val="404040"/>
          <w:sz w:val="28"/>
          <w:szCs w:val="28"/>
        </w:rPr>
        <w:t xml:space="preserve">Architecture &amp; Board Design Specification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Borders>
              <w:top w:val="none" w:color="FFFFFF" w:sz="0"/>
              <w:left w:val="none" w:color="FFFFFF" w:sz="0"/>
              <w:bottom w:val="none" w:color="FFFFFF" w:sz="0"/>
              <w:right w:val="none" w:color="FFFFFF" w:sz="0"/>
            </w:tcBorders>
            <w:shd w:fill="D5E8F0" w:val="clear"/>
            <w:tcMar>
              <w:top w:type="dxa" w:w="100"/>
              <w:left w:type="dxa" w:w="200"/>
              <w:bottom w:type="dxa" w:w="100"/>
              <w:right w:type="dxa" w:w="200"/>
            </w:tcMar>
          </w:tcPr>
          <w:p>
            <w:pPr>
              <w:spacing w:before="0" w:after="20"/>
            </w:pPr>
            <w:r>
              <w:rPr>
                <w:rFonts w:ascii="Arial" w:cs="Arial" w:eastAsia="Arial" w:hAnsi="Arial"/>
                <w:color w:val="666666"/>
                <w:sz w:val="18"/>
                <w:szCs w:val="18"/>
              </w:rPr>
              <w:t xml:space="preserve">Document version</w:t>
            </w:r>
          </w:p>
          <w:p>
            <w:pPr>
              <w:spacing w:before="0" w:after="0"/>
            </w:pPr>
            <w:r>
              <w:rPr>
                <w:rFonts w:ascii="Arial" w:cs="Arial" w:eastAsia="Arial" w:hAnsi="Arial"/>
                <w:b/>
                <w:bCs/>
                <w:color w:val="1F3A6E"/>
                <w:sz w:val="22"/>
                <w:szCs w:val="22"/>
              </w:rPr>
              <w:t xml:space="preserve">Rev 1.0</w:t>
            </w:r>
          </w:p>
        </w:tc>
        <w:tc>
          <w:tcPr>
            <w:tcBorders>
              <w:top w:val="none" w:color="FFFFFF" w:sz="0"/>
              <w:left w:val="none" w:color="FFFFFF" w:sz="0"/>
              <w:bottom w:val="none" w:color="FFFFFF" w:sz="0"/>
              <w:right w:val="none" w:color="FFFFFF" w:sz="0"/>
            </w:tcBorders>
            <w:shd w:fill="D5E8F0" w:val="clear"/>
            <w:tcMar>
              <w:top w:type="dxa" w:w="100"/>
              <w:left w:type="dxa" w:w="200"/>
              <w:bottom w:type="dxa" w:w="100"/>
              <w:right w:type="dxa" w:w="200"/>
            </w:tcMar>
          </w:tcPr>
          <w:p>
            <w:pPr>
              <w:spacing w:before="0" w:after="20"/>
            </w:pPr>
            <w:r>
              <w:rPr>
                <w:rFonts w:ascii="Arial" w:cs="Arial" w:eastAsia="Arial" w:hAnsi="Arial"/>
                <w:color w:val="666666"/>
                <w:sz w:val="18"/>
                <w:szCs w:val="18"/>
              </w:rPr>
              <w:t xml:space="preserve">Target process node</w:t>
            </w:r>
          </w:p>
          <w:p>
            <w:pPr>
              <w:spacing w:before="0" w:after="0"/>
            </w:pPr>
            <w:r>
              <w:rPr>
                <w:rFonts w:ascii="Arial" w:cs="Arial" w:eastAsia="Arial" w:hAnsi="Arial"/>
                <w:b/>
                <w:bCs/>
                <w:color w:val="1F3A6E"/>
                <w:sz w:val="22"/>
                <w:szCs w:val="22"/>
              </w:rPr>
              <w:t xml:space="preserve">TSMC N3E</w:t>
            </w:r>
          </w:p>
        </w:tc>
      </w:tr>
      <w:tr>
        <w:tc>
          <w:tcPr>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spacing w:before="0" w:after="20"/>
            </w:pPr>
            <w:r>
              <w:rPr>
                <w:rFonts w:ascii="Arial" w:cs="Arial" w:eastAsia="Arial" w:hAnsi="Arial"/>
                <w:color w:val="666666"/>
                <w:sz w:val="18"/>
                <w:szCs w:val="18"/>
              </w:rPr>
              <w:t xml:space="preserve">Peak performance (INT8)</w:t>
            </w:r>
          </w:p>
          <w:p>
            <w:pPr>
              <w:spacing w:before="0" w:after="0"/>
            </w:pPr>
            <w:r>
              <w:rPr>
                <w:rFonts w:ascii="Arial" w:cs="Arial" w:eastAsia="Arial" w:hAnsi="Arial"/>
                <w:b/>
                <w:bCs/>
                <w:color w:val="1F3A6E"/>
                <w:sz w:val="22"/>
                <w:szCs w:val="22"/>
              </w:rPr>
              <w:t xml:space="preserve">3,000+ TOPS</w:t>
            </w:r>
          </w:p>
        </w:tc>
        <w:tc>
          <w:tcPr>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pPr>
              <w:spacing w:before="0" w:after="20"/>
            </w:pPr>
            <w:r>
              <w:rPr>
                <w:rFonts w:ascii="Arial" w:cs="Arial" w:eastAsia="Arial" w:hAnsi="Arial"/>
                <w:color w:val="666666"/>
                <w:sz w:val="18"/>
                <w:szCs w:val="18"/>
              </w:rPr>
              <w:t xml:space="preserve">TDP</w:t>
            </w:r>
          </w:p>
          <w:p>
            <w:pPr>
              <w:spacing w:before="0" w:after="0"/>
            </w:pPr>
            <w:r>
              <w:rPr>
                <w:rFonts w:ascii="Arial" w:cs="Arial" w:eastAsia="Arial" w:hAnsi="Arial"/>
                <w:b/>
                <w:bCs/>
                <w:color w:val="1F3A6E"/>
                <w:sz w:val="22"/>
                <w:szCs w:val="22"/>
              </w:rPr>
              <w:t xml:space="preserve">~400W (package)</w:t>
            </w:r>
          </w:p>
        </w:tc>
      </w:tr>
      <w:tr>
        <w:tc>
          <w:tcPr>
            <w:tcBorders>
              <w:top w:val="none" w:color="FFFFFF" w:sz="0"/>
              <w:left w:val="none" w:color="FFFFFF" w:sz="0"/>
              <w:bottom w:val="none" w:color="FFFFFF" w:sz="0"/>
              <w:right w:val="none" w:color="FFFFFF" w:sz="0"/>
            </w:tcBorders>
            <w:shd w:fill="D5E8F0" w:val="clear"/>
            <w:tcMar>
              <w:top w:type="dxa" w:w="100"/>
              <w:left w:type="dxa" w:w="200"/>
              <w:bottom w:type="dxa" w:w="100"/>
              <w:right w:type="dxa" w:w="200"/>
            </w:tcMar>
          </w:tcPr>
          <w:p>
            <w:pPr>
              <w:spacing w:before="0" w:after="20"/>
            </w:pPr>
            <w:r>
              <w:rPr>
                <w:rFonts w:ascii="Arial" w:cs="Arial" w:eastAsia="Arial" w:hAnsi="Arial"/>
                <w:color w:val="666666"/>
                <w:sz w:val="18"/>
                <w:szCs w:val="18"/>
              </w:rPr>
              <w:t xml:space="preserve">Target workloads</w:t>
            </w:r>
          </w:p>
          <w:p>
            <w:pPr>
              <w:spacing w:before="0" w:after="0"/>
            </w:pPr>
            <w:r>
              <w:rPr>
                <w:rFonts w:ascii="Arial" w:cs="Arial" w:eastAsia="Arial" w:hAnsi="Arial"/>
                <w:b/>
                <w:bCs/>
                <w:color w:val="1F3A6E"/>
                <w:sz w:val="22"/>
                <w:szCs w:val="22"/>
              </w:rPr>
              <w:t xml:space="preserve">LLM inference + training, CNNs</w:t>
            </w:r>
          </w:p>
        </w:tc>
        <w:tc>
          <w:tcPr>
            <w:tcBorders>
              <w:top w:val="none" w:color="FFFFFF" w:sz="0"/>
              <w:left w:val="none" w:color="FFFFFF" w:sz="0"/>
              <w:bottom w:val="none" w:color="FFFFFF" w:sz="0"/>
              <w:right w:val="none" w:color="FFFFFF" w:sz="0"/>
            </w:tcBorders>
            <w:shd w:fill="D5E8F0" w:val="clear"/>
            <w:tcMar>
              <w:top w:type="dxa" w:w="100"/>
              <w:left w:type="dxa" w:w="200"/>
              <w:bottom w:type="dxa" w:w="100"/>
              <w:right w:type="dxa" w:w="200"/>
            </w:tcMar>
          </w:tcPr>
          <w:p>
            <w:pPr>
              <w:spacing w:before="0" w:after="20"/>
            </w:pPr>
            <w:r>
              <w:rPr>
                <w:rFonts w:ascii="Arial" w:cs="Arial" w:eastAsia="Arial" w:hAnsi="Arial"/>
                <w:color w:val="666666"/>
                <w:sz w:val="18"/>
                <w:szCs w:val="18"/>
              </w:rPr>
              <w:t xml:space="preserve">HBM capacity</w:t>
            </w:r>
          </w:p>
          <w:p>
            <w:pPr>
              <w:spacing w:before="0" w:after="0"/>
            </w:pPr>
            <w:r>
              <w:rPr>
                <w:rFonts w:ascii="Arial" w:cs="Arial" w:eastAsia="Arial" w:hAnsi="Arial"/>
                <w:b/>
                <w:bCs/>
                <w:color w:val="1F3A6E"/>
                <w:sz w:val="22"/>
                <w:szCs w:val="22"/>
              </w:rPr>
              <w:t xml:space="preserve">96 GB HBM3e (2 stacks)</w:t>
            </w:r>
          </w:p>
        </w:tc>
      </w:tr>
    </w:tbl>
    <w:p>
      <w:r>
        <w:br w:type="page"/>
      </w:r>
    </w:p>
    <w:p>
      <w:pPr>
        <w:pStyle w:val="Heading1"/>
        <w:pBdr>
          <w:bottom w:val="single" w:color="4472C4" w:sz="6" w:space="1"/>
        </w:pBdr>
        <w:spacing w:before="400" w:after="200"/>
      </w:pPr>
      <w:r>
        <w:rPr>
          <w:rFonts w:ascii="Arial" w:cs="Arial" w:eastAsia="Arial" w:hAnsi="Arial"/>
          <w:b/>
          <w:bCs/>
          <w:color w:val="1F3A6E"/>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4472C4" w:sz="6" w:space="1"/>
        </w:pBdr>
        <w:spacing w:before="400" w:after="200"/>
      </w:pPr>
      <w:r>
        <w:rPr>
          <w:rFonts w:ascii="Arial" w:cs="Arial" w:eastAsia="Arial" w:hAnsi="Arial"/>
          <w:b/>
          <w:bCs/>
          <w:color w:val="1F3A6E"/>
          <w:sz w:val="32"/>
          <w:szCs w:val="32"/>
        </w:rPr>
        <w:t xml:space="preserve">1. Executive Summary</w:t>
      </w:r>
    </w:p>
    <w:p>
      <w:pPr>
        <w:spacing w:before="60" w:after="60"/>
        <w:jc w:val="both"/>
      </w:pPr>
      <w:r>
        <w:rPr>
          <w:rFonts w:ascii="Arial" w:cs="Arial" w:eastAsia="Arial" w:hAnsi="Arial"/>
          <w:color w:val="404040"/>
          <w:sz w:val="22"/>
          <w:szCs w:val="22"/>
        </w:rPr>
        <w:t xml:space="preserve">APEX-1 is a purpose-built AI matrix processor designed exclusively for neural network inference and training workloads. The chip is architected around a systolic array compute fabric that excels at the dense matrix multiply-accumulate (MAC) operations that dominate modern AI — large language models (LLMs), convolutional neural networks (CNNs), and vision transformers. It is structurally incapable of executing graphics rendering, general-purpose compute, or arbitrary software.</w:t>
      </w:r>
    </w:p>
    <w:p>
      <w:pPr>
        <w:spacing w:before="80" w:after="0"/>
      </w:pPr>
      <w:r>
        <w:t xml:space="preserve"/>
      </w:r>
    </w:p>
    <w:p>
      <w:pPr>
        <w:spacing w:before="60" w:after="60"/>
        <w:jc w:val="both"/>
      </w:pPr>
      <w:r>
        <w:rPr>
          <w:rFonts w:ascii="Arial" w:cs="Arial" w:eastAsia="Arial" w:hAnsi="Arial"/>
          <w:color w:val="404040"/>
          <w:sz w:val="22"/>
          <w:szCs w:val="22"/>
        </w:rPr>
        <w:t xml:space="preserve">The design targets greater than 3,000 TOPS of INT8 throughput in a four-die chiplet package on TSMC N3E, with 96 GB of HBM3e providing 6 TB/s of memory bandwidth. A fully static compiler-controlled execution model eliminates branch prediction, cache hierarchies, and out-of-order execution — hardware that is unnecessary for predictable AI workloads — allowing nearly all transistor area to be devoted to arithmetic.</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1.1 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Process node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TSMC N3E (3nm class)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Die count (package)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 compute dies on CoWoS silicon interposer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Die area (each)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~300 mm²</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Clock frequency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 GHz (compute 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Peak throughput — INT8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3,145 TOPS (dense) / 6,291 TOPS (2:4 sparse)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Peak throughput — BF16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786 TOPS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Peak throughput — FP8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3,145 TOPS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On-chip SRAM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256 MB global scratchpad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HBM 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96 GB HBM3e (2 stacks, 48 GB each)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HBM bandwidth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 TB/s aggregate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Host interface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PCIe 5.0 x16 (128 GB/s)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Scale-out interconnect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UCIe 2.0 die-to-die (20 TB/s)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Package TDP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~400 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Supported workloads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LLM inference, LLM training, CNN inference/training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Unsupported workloads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Graphics, general-purpose compute, OS execution</w:t>
            </w:r>
          </w:p>
        </w:tc>
      </w:tr>
    </w:tbl>
    <w:p>
      <w:r>
        <w:br w:type="page"/>
      </w:r>
    </w:p>
    <w:p>
      <w:pPr>
        <w:pStyle w:val="Heading1"/>
        <w:pBdr>
          <w:bottom w:val="single" w:color="4472C4" w:sz="6" w:space="1"/>
        </w:pBdr>
        <w:spacing w:before="400" w:after="200"/>
      </w:pPr>
      <w:r>
        <w:rPr>
          <w:rFonts w:ascii="Arial" w:cs="Arial" w:eastAsia="Arial" w:hAnsi="Arial"/>
          <w:b/>
          <w:bCs/>
          <w:color w:val="1F3A6E"/>
          <w:sz w:val="32"/>
          <w:szCs w:val="32"/>
        </w:rPr>
        <w:t xml:space="preserve">2. Compute Architecture</w:t>
      </w:r>
    </w:p>
    <w:p>
      <w:pPr>
        <w:pStyle w:val="Heading2"/>
        <w:spacing w:before="300" w:after="120"/>
      </w:pPr>
      <w:r>
        <w:rPr>
          <w:rFonts w:ascii="Arial" w:cs="Arial" w:eastAsia="Arial" w:hAnsi="Arial"/>
          <w:b/>
          <w:bCs/>
          <w:color w:val="1F3A6E"/>
          <w:sz w:val="26"/>
          <w:szCs w:val="26"/>
        </w:rPr>
        <w:t xml:space="preserve">2.1 Matrix eXecution Unit (MXU) Cluster</w:t>
      </w:r>
    </w:p>
    <w:p>
      <w:pPr>
        <w:spacing w:before="60" w:after="60"/>
        <w:jc w:val="both"/>
      </w:pPr>
      <w:r>
        <w:rPr>
          <w:rFonts w:ascii="Arial" w:cs="Arial" w:eastAsia="Arial" w:hAnsi="Arial"/>
          <w:color w:val="404040"/>
          <w:sz w:val="22"/>
          <w:szCs w:val="22"/>
        </w:rPr>
        <w:t xml:space="preserve">The fundamental compute building block is the MXU cluster. Each die contains four MXU clusters arranged in a 2×2 mesh. Each cluster contains four 128×128 systolic arrays, giving 16 systolic arrays per die and 64 systolic arrays across the four-die package.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MACs</w:t>
            </w:r>
          </w:p>
        </w:tc>
        <w:tc>
          <w:tcPr>
            <w:tcW w:type="dxa" w:w="2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INT8 TOPS @ 1 GHz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Single systolic array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64 (package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16,384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32.8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MXU cluster (4 arrays)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16 (package 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65,536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131.1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 die (4 clusters)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 dies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262,144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524.3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Full package (4 dies)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1,048,576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3,145.7</w:t>
            </w:r>
          </w:p>
        </w:tc>
      </w:tr>
    </w:tbl>
    <w:p>
      <w:pPr>
        <w:spacing w:before="120" w:after="0"/>
      </w:pPr>
      <w:r>
        <w:t xml:space="preserve"/>
      </w:r>
    </w:p>
    <w:p>
      <w:pPr>
        <w:pStyle w:val="Heading2"/>
        <w:spacing w:before="300" w:after="120"/>
      </w:pPr>
      <w:r>
        <w:rPr>
          <w:rFonts w:ascii="Arial" w:cs="Arial" w:eastAsia="Arial" w:hAnsi="Arial"/>
          <w:b/>
          <w:bCs/>
          <w:color w:val="1F3A6E"/>
          <w:sz w:val="26"/>
          <w:szCs w:val="26"/>
        </w:rPr>
        <w:t xml:space="preserve">2.2 Systolic Array Microarchitecture</w:t>
      </w:r>
    </w:p>
    <w:p>
      <w:pPr>
        <w:spacing w:before="60" w:after="60"/>
        <w:jc w:val="both"/>
      </w:pPr>
      <w:r>
        <w:rPr>
          <w:rFonts w:ascii="Arial" w:cs="Arial" w:eastAsia="Arial" w:hAnsi="Arial"/>
          <w:color w:val="404040"/>
          <w:sz w:val="22"/>
          <w:szCs w:val="22"/>
        </w:rPr>
        <w:t xml:space="preserve">Each 128×128 systolic array operates as a weight-stationary dataflow engine. Weights are loaded into the array at the start of each tile computation and held stationary for the duration. Input activations stream in from the left edge one row per clock cycle, and partial products accumulate rightward across the array. Results drain from the right edge into a reduction tree that sums partial products from the four arrays in each cluster.</w:t>
      </w:r>
    </w:p>
    <w:p>
      <w:pPr>
        <w:spacing w:before="80" w:after="0"/>
      </w:pPr>
      <w:r>
        <w:t xml:space="preserve"/>
      </w:r>
    </w:p>
    <w:p>
      <w:pPr>
        <w:pStyle w:val="Heading3"/>
        <w:spacing w:before="200" w:after="80"/>
      </w:pPr>
      <w:r>
        <w:rPr>
          <w:rFonts w:ascii="Arial" w:cs="Arial" w:eastAsia="Arial" w:hAnsi="Arial"/>
          <w:b/>
          <w:bCs/>
          <w:color w:val="404040"/>
          <w:sz w:val="22"/>
          <w:szCs w:val="22"/>
        </w:rPr>
        <w:t xml:space="preserve">2.2.1 MAC Cell Design</w:t>
      </w:r>
    </w:p>
    <w:p>
      <w:pPr>
        <w:spacing w:before="60" w:after="60"/>
        <w:jc w:val="both"/>
      </w:pPr>
      <w:r>
        <w:rPr>
          <w:rFonts w:ascii="Arial" w:cs="Arial" w:eastAsia="Arial" w:hAnsi="Arial"/>
          <w:color w:val="404040"/>
          <w:sz w:val="22"/>
          <w:szCs w:val="22"/>
        </w:rPr>
        <w:t xml:space="preserve">Each MAC cell contains the following components:</w:t>
      </w:r>
    </w:p>
    <w:p>
      <w:pPr>
        <w:pStyle w:val="ListParagraph"/>
        <w:numPr>
          <w:ilvl w:val="0"/>
          <w:numId w:val="2"/>
        </w:numPr>
        <w:spacing w:before="40" w:after="40"/>
      </w:pPr>
      <w:r>
        <w:rPr>
          <w:rFonts w:ascii="Arial" w:cs="Arial" w:eastAsia="Arial" w:hAnsi="Arial"/>
          <w:color w:val="404040"/>
          <w:sz w:val="22"/>
          <w:szCs w:val="22"/>
        </w:rPr>
        <w:t xml:space="preserve">One 8-bit integer multiplier (INT8 × INT8 = INT16 product)</w:t>
      </w:r>
    </w:p>
    <w:p>
      <w:pPr>
        <w:pStyle w:val="ListParagraph"/>
        <w:numPr>
          <w:ilvl w:val="0"/>
          <w:numId w:val="2"/>
        </w:numPr>
        <w:spacing w:before="40" w:after="40"/>
      </w:pPr>
      <w:r>
        <w:rPr>
          <w:rFonts w:ascii="Arial" w:cs="Arial" w:eastAsia="Arial" w:hAnsi="Arial"/>
          <w:color w:val="404040"/>
          <w:sz w:val="22"/>
          <w:szCs w:val="22"/>
        </w:rPr>
        <w:t xml:space="preserve">One 32-bit accumulator register (wide to prevent overflow during training)</w:t>
      </w:r>
    </w:p>
    <w:p>
      <w:pPr>
        <w:pStyle w:val="ListParagraph"/>
        <w:numPr>
          <w:ilvl w:val="0"/>
          <w:numId w:val="2"/>
        </w:numPr>
        <w:spacing w:before="40" w:after="40"/>
      </w:pPr>
      <w:r>
        <w:rPr>
          <w:rFonts w:ascii="Arial" w:cs="Arial" w:eastAsia="Arial" w:hAnsi="Arial"/>
          <w:color w:val="404040"/>
          <w:sz w:val="22"/>
          <w:szCs w:val="22"/>
        </w:rPr>
        <w:t xml:space="preserve">One 16-bit BF16 multiplier path (shared hardware, mode-selected)</w:t>
      </w:r>
    </w:p>
    <w:p>
      <w:pPr>
        <w:pStyle w:val="ListParagraph"/>
        <w:numPr>
          <w:ilvl w:val="0"/>
          <w:numId w:val="2"/>
        </w:numPr>
        <w:spacing w:before="40" w:after="40"/>
      </w:pPr>
      <w:r>
        <w:rPr>
          <w:rFonts w:ascii="Arial" w:cs="Arial" w:eastAsia="Arial" w:hAnsi="Arial"/>
          <w:color w:val="404040"/>
          <w:sz w:val="22"/>
          <w:szCs w:val="22"/>
        </w:rPr>
        <w:t xml:space="preserve">One FP8 multiply path (E4M3 and E5M2 format support)</w:t>
      </w:r>
    </w:p>
    <w:p>
      <w:pPr>
        <w:pStyle w:val="ListParagraph"/>
        <w:numPr>
          <w:ilvl w:val="0"/>
          <w:numId w:val="2"/>
        </w:numPr>
        <w:spacing w:before="40" w:after="40"/>
      </w:pPr>
      <w:r>
        <w:rPr>
          <w:rFonts w:ascii="Arial" w:cs="Arial" w:eastAsia="Arial" w:hAnsi="Arial"/>
          <w:color w:val="404040"/>
          <w:sz w:val="22"/>
          <w:szCs w:val="22"/>
        </w:rPr>
        <w:t xml:space="preserve">Four-directional routing wires to adjacent cells (N/S/E/W)</w:t>
      </w:r>
    </w:p>
    <w:p>
      <w:pPr>
        <w:pStyle w:val="ListParagraph"/>
        <w:numPr>
          <w:ilvl w:val="0"/>
          <w:numId w:val="2"/>
        </w:numPr>
        <w:spacing w:before="40" w:after="40"/>
      </w:pPr>
      <w:r>
        <w:rPr>
          <w:rFonts w:ascii="Arial" w:cs="Arial" w:eastAsia="Arial" w:hAnsi="Arial"/>
          <w:color w:val="404040"/>
          <w:sz w:val="22"/>
          <w:szCs w:val="22"/>
        </w:rPr>
        <w:t xml:space="preserve">Power gate control signal (idle tiles clock-gated at MAC granularity)</w:t>
      </w:r>
    </w:p>
    <w:p>
      <w:pPr>
        <w:spacing w:before="80" w:after="0"/>
      </w:pPr>
      <w:r>
        <w:t xml:space="preserve"/>
      </w:r>
    </w:p>
    <w:p>
      <w:pPr>
        <w:pStyle w:val="Heading3"/>
        <w:spacing w:before="200" w:after="80"/>
      </w:pPr>
      <w:r>
        <w:rPr>
          <w:rFonts w:ascii="Arial" w:cs="Arial" w:eastAsia="Arial" w:hAnsi="Arial"/>
          <w:b/>
          <w:bCs/>
          <w:color w:val="404040"/>
          <w:sz w:val="22"/>
          <w:szCs w:val="22"/>
        </w:rPr>
        <w:t xml:space="preserve">2.2.2 Pipeline Stages</w:t>
      </w:r>
    </w:p>
    <w:p>
      <w:pPr>
        <w:spacing w:before="60" w:after="60"/>
        <w:jc w:val="both"/>
      </w:pPr>
      <w:r>
        <w:rPr>
          <w:rFonts w:ascii="Arial" w:cs="Arial" w:eastAsia="Arial" w:hAnsi="Arial"/>
          <w:color w:val="404040"/>
          <w:sz w:val="22"/>
          <w:szCs w:val="22"/>
        </w:rPr>
        <w:t xml:space="preserve">The systolic array is pipelined in four stages to achieve timing closure at 1 GHz on TSMC N3E: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5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2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Latency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Stage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Input register — latch activation from neighbor or input edge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cycle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Stage 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Multiply — compute A×W product (INT8, BF16, or FP8)</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 cycle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Stage 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Accumulate (partial 1) — add to running accumulator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cycle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Stage 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Accumulate (partial 2) — finalize and pass to drain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 cycle</w:t>
            </w:r>
          </w:p>
        </w:tc>
      </w:tr>
    </w:tbl>
    <w:p>
      <w:pPr>
        <w:spacing w:before="120" w:after="0"/>
      </w:pPr>
      <w:r>
        <w:t xml:space="preserve"/>
      </w:r>
    </w:p>
    <w:p>
      <w:pPr>
        <w:pStyle w:val="Heading2"/>
        <w:spacing w:before="300" w:after="120"/>
      </w:pPr>
      <w:r>
        <w:rPr>
          <w:rFonts w:ascii="Arial" w:cs="Arial" w:eastAsia="Arial" w:hAnsi="Arial"/>
          <w:b/>
          <w:bCs/>
          <w:color w:val="1F3A6E"/>
          <w:sz w:val="26"/>
          <w:szCs w:val="26"/>
        </w:rPr>
        <w:t xml:space="preserve">2.3 Supported Number Formats</w:t>
      </w:r>
    </w:p>
    <w:p>
      <w:pPr>
        <w:spacing w:before="60" w:after="60"/>
        <w:jc w:val="both"/>
      </w:pPr>
      <w:r>
        <w:rPr>
          <w:rFonts w:ascii="Arial" w:cs="Arial" w:eastAsia="Arial" w:hAnsi="Arial"/>
          <w:color w:val="404040"/>
          <w:sz w:val="22"/>
          <w:szCs w:val="22"/>
        </w:rPr>
        <w:t xml:space="preserve">APEX-1 supports the following numeric formats. No other formats are implemented — in particular, FP64 and FP32 compute are absent. FP32 is supported only as an accumulator format for BF16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500"/>
        <w:gridCol w:w="2860"/>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1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Bits</w:t>
            </w:r>
          </w:p>
        </w:tc>
        <w:tc>
          <w:tcPr>
            <w:tcW w:type="dxa" w:w="3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c>
          <w:tcPr>
            <w:tcW w:type="dxa" w:w="28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Throughput multiplier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INT8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Inference, quantized training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 (baseline)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INT4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Aggressive quantized inference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2.0× (2 ops per MAC cycle)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BF16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Training forward pass, inference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0.25× (4 cycles per MAC)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FP8 E4M3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Training, high-quality inference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FP8 E5M2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Training gradients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FP32 (accumulator only)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Gradient accumulation sink</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N/A — no FP32 compute</w:t>
            </w:r>
          </w:p>
        </w:tc>
      </w:tr>
    </w:tbl>
    <w:p>
      <w:pPr>
        <w:spacing w:before="120" w:after="0"/>
      </w:pPr>
      <w:r>
        <w:t xml:space="preserve"/>
      </w:r>
    </w:p>
    <w:p>
      <w:pPr>
        <w:pStyle w:val="Heading2"/>
        <w:spacing w:before="300" w:after="120"/>
      </w:pPr>
      <w:r>
        <w:rPr>
          <w:rFonts w:ascii="Arial" w:cs="Arial" w:eastAsia="Arial" w:hAnsi="Arial"/>
          <w:b/>
          <w:bCs/>
          <w:color w:val="1F3A6E"/>
          <w:sz w:val="26"/>
          <w:szCs w:val="26"/>
        </w:rPr>
        <w:t xml:space="preserve">2.4 Sparsity Engine</w:t>
      </w:r>
    </w:p>
    <w:p>
      <w:pPr>
        <w:spacing w:before="60" w:after="60"/>
        <w:jc w:val="both"/>
      </w:pPr>
      <w:r>
        <w:rPr>
          <w:rFonts w:ascii="Arial" w:cs="Arial" w:eastAsia="Arial" w:hAnsi="Arial"/>
          <w:color w:val="404040"/>
          <w:sz w:val="22"/>
          <w:szCs w:val="22"/>
        </w:rPr>
        <w:t xml:space="preserve">Modern large language models can be pruned using the 2:4 structured sparsity pattern: in every consecutive group of four weights, exactly two are forced to zero during training. APEX-1 includes a dedicated sparsity engine per MXU cluster that stores a compressed weight representation (50% fewer bytes) alongside a 2-bit index mask indicating which of the four positions are non-zero. During MAC execution, zero-weight multiplications are skipped entirely, doubling effective throughput on 2:4-sparse models with no arithmetic accuracy loss.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12"/>
              <w:bottom w:val="single" w:color="CCCCCC" w:sz="1"/>
              <w:right w:val="single" w:color="CCCCCC" w:sz="1"/>
            </w:tcBorders>
            <w:shd w:fill="FFF5E6" w:val="clear"/>
            <w:tcMar>
              <w:top w:type="dxa" w:w="80"/>
              <w:left w:type="dxa" w:w="160"/>
              <w:bottom w:type="dxa" w:w="80"/>
              <w:right w:type="dxa" w:w="120"/>
            </w:tcMar>
          </w:tcPr>
          <w:p>
            <w:pPr>
              <w:spacing w:before="0" w:after="40"/>
            </w:pPr>
            <w:r>
              <w:rPr>
                <w:rFonts w:ascii="Arial" w:cs="Arial" w:eastAsia="Arial" w:hAnsi="Arial"/>
                <w:b/>
                <w:bCs/>
                <w:color w:val="C55A11"/>
                <w:sz w:val="20"/>
                <w:szCs w:val="20"/>
              </w:rPr>
              <w:t xml:space="preserve">Note on sparsity TOPS</w:t>
            </w:r>
          </w:p>
          <w:p>
            <w:pPr>
              <w:spacing w:before="0" w:after="0"/>
            </w:pPr>
            <w:r>
              <w:rPr>
                <w:rFonts w:ascii="Arial" w:cs="Arial" w:eastAsia="Arial" w:hAnsi="Arial"/>
                <w:color w:val="404040"/>
                <w:sz w:val="20"/>
                <w:szCs w:val="20"/>
              </w:rPr>
              <w:t xml:space="preserve">The 6,291 TOPS figure cited in the key specifications assumes 100% 2:4 structured sparsity in the weight matrices. Dense (non-sparse) workloads achieve 3,145 TOPS INT8. Real-world LLM workloads with partial sparsity will fall between these values.</w:t>
            </w:r>
          </w:p>
        </w:tc>
      </w:tr>
    </w:tbl>
    <w:p>
      <w:r>
        <w:br w:type="page"/>
      </w:r>
    </w:p>
    <w:p>
      <w:pPr>
        <w:pStyle w:val="Heading1"/>
        <w:pBdr>
          <w:bottom w:val="single" w:color="4472C4" w:sz="6" w:space="1"/>
        </w:pBdr>
        <w:spacing w:before="400" w:after="200"/>
      </w:pPr>
      <w:r>
        <w:rPr>
          <w:rFonts w:ascii="Arial" w:cs="Arial" w:eastAsia="Arial" w:hAnsi="Arial"/>
          <w:b/>
          <w:bCs/>
          <w:color w:val="1F3A6E"/>
          <w:sz w:val="32"/>
          <w:szCs w:val="32"/>
        </w:rPr>
        <w:t xml:space="preserve">3. Memory Architecture</w:t>
      </w:r>
    </w:p>
    <w:p>
      <w:pPr>
        <w:pStyle w:val="Heading2"/>
        <w:spacing w:before="300" w:after="120"/>
      </w:pPr>
      <w:r>
        <w:rPr>
          <w:rFonts w:ascii="Arial" w:cs="Arial" w:eastAsia="Arial" w:hAnsi="Arial"/>
          <w:b/>
          <w:bCs/>
          <w:color w:val="1F3A6E"/>
          <w:sz w:val="26"/>
          <w:szCs w:val="26"/>
        </w:rPr>
        <w:t xml:space="preserve">3.1 Memory Hierarchy</w:t>
      </w:r>
    </w:p>
    <w:p>
      <w:pPr>
        <w:spacing w:before="60" w:after="60"/>
        <w:jc w:val="both"/>
      </w:pPr>
      <w:r>
        <w:rPr>
          <w:rFonts w:ascii="Arial" w:cs="Arial" w:eastAsia="Arial" w:hAnsi="Arial"/>
          <w:color w:val="404040"/>
          <w:sz w:val="22"/>
          <w:szCs w:val="22"/>
        </w:rPr>
        <w:t xml:space="preserve">APEX-1 uses a three-level memory hierarchy. All levels are software-managed — there are no hardware caches or TLBs. The compiler assigns every data movement at compile time, making memory latency fully deterministic.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600"/>
        <w:gridCol w:w="1400"/>
        <w:gridCol w:w="1660"/>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Bandwidth</w:t>
            </w:r>
          </w:p>
        </w:tc>
        <w:tc>
          <w:tcPr>
            <w:tcW w:type="dxa" w:w="1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Latency</w:t>
            </w:r>
          </w:p>
        </w:tc>
        <w:tc>
          <w:tcPr>
            <w:tcW w:type="dxa" w:w="16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Managed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MAC register 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 KB per array (64 KB total/die)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Unlimited (on-cell)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 cycles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Hardware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Tile local SRAM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 MB per cluster (8 MB/die)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 TB/s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 cycles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Compiler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Global scratchpad SRAM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256 MB (shared across die)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~20 TB/s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 cycles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Compiler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HBM3e off-chip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96 GB (2 stacks)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 TB/s aggregate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~120 cycles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DMA engine</w:t>
            </w:r>
          </w:p>
        </w:tc>
      </w:tr>
    </w:tbl>
    <w:p>
      <w:pPr>
        <w:spacing w:before="120" w:after="0"/>
      </w:pPr>
      <w:r>
        <w:t xml:space="preserve"/>
      </w:r>
    </w:p>
    <w:p>
      <w:pPr>
        <w:pStyle w:val="Heading2"/>
        <w:spacing w:before="300" w:after="120"/>
      </w:pPr>
      <w:r>
        <w:rPr>
          <w:rFonts w:ascii="Arial" w:cs="Arial" w:eastAsia="Arial" w:hAnsi="Arial"/>
          <w:b/>
          <w:bCs/>
          <w:color w:val="1F3A6E"/>
          <w:sz w:val="26"/>
          <w:szCs w:val="26"/>
        </w:rPr>
        <w:t xml:space="preserve">3.2 Global Scratchpad SRAM</w:t>
      </w:r>
    </w:p>
    <w:p>
      <w:pPr>
        <w:spacing w:before="60" w:after="60"/>
        <w:jc w:val="both"/>
      </w:pPr>
      <w:r>
        <w:rPr>
          <w:rFonts w:ascii="Arial" w:cs="Arial" w:eastAsia="Arial" w:hAnsi="Arial"/>
          <w:color w:val="404040"/>
          <w:sz w:val="22"/>
          <w:szCs w:val="22"/>
        </w:rPr>
        <w:t xml:space="preserve">The 256 MB on-chip SRAM scratchpad is the primary working memory for all compute operations. It is organized as 16 independently addressable banks, each 16 MB, with a 4096-bit wide bus connecting to the MXU clusters. The scratchpad does not have hardware eviction, coherence protocols, or tag arrays — it is purely a large register file managed by the compiler.</w:t>
      </w:r>
    </w:p>
    <w:p>
      <w:pPr>
        <w:spacing w:before="80" w:after="0"/>
      </w:pPr>
      <w:r>
        <w:t xml:space="preserve"/>
      </w:r>
    </w:p>
    <w:p>
      <w:pPr>
        <w:spacing w:before="60" w:after="60"/>
        <w:jc w:val="both"/>
      </w:pPr>
      <w:r>
        <w:rPr>
          <w:rFonts w:ascii="Arial" w:cs="Arial" w:eastAsia="Arial" w:hAnsi="Arial"/>
          <w:color w:val="404040"/>
          <w:sz w:val="22"/>
          <w:szCs w:val="22"/>
        </w:rPr>
        <w:t xml:space="preserve">The compiler divides the scratchpad into two halves for double-buffering: while MXU clusters compute on data in partition A, the DMA engine prefetches the next tile into partition B. When computation completes, partitions swap. This hides the ~120-cycle HBM latency behind computation, keeping the MACs continuously busy.</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3.3 HBM3e Interface</w:t>
      </w:r>
    </w:p>
    <w:p>
      <w:pPr>
        <w:spacing w:before="60" w:after="60"/>
        <w:jc w:val="both"/>
      </w:pPr>
      <w:r>
        <w:rPr>
          <w:rFonts w:ascii="Arial" w:cs="Arial" w:eastAsia="Arial" w:hAnsi="Arial"/>
          <w:color w:val="404040"/>
          <w:sz w:val="22"/>
          <w:szCs w:val="22"/>
        </w:rPr>
        <w:t xml:space="preserve">Two HBM3e stacks are mounted on the silicon interposer adjacent to the compute dies. Each stack provides 48 GB capacity and approximately 3 TB/s of bandwidth through 8 independent channels (1024-bit bus per channel at 6.4 Gbps per pin). The two stacks are managed as a unified 96 GB address space striped at 256-byte granularity.</w:t>
      </w:r>
    </w:p>
    <w:p>
      <w:pPr>
        <w:spacing w:before="80" w:after="0"/>
      </w:pPr>
      <w:r>
        <w:t xml:space="preserve"/>
      </w:r>
    </w:p>
    <w:p>
      <w:pPr>
        <w:pStyle w:val="Heading3"/>
        <w:spacing w:before="200" w:after="80"/>
      </w:pPr>
      <w:r>
        <w:rPr>
          <w:rFonts w:ascii="Arial" w:cs="Arial" w:eastAsia="Arial" w:hAnsi="Arial"/>
          <w:b/>
          <w:bCs/>
          <w:color w:val="404040"/>
          <w:sz w:val="22"/>
          <w:szCs w:val="22"/>
        </w:rPr>
        <w:t xml:space="preserve">3.3.1 DMA Engine</w:t>
      </w:r>
    </w:p>
    <w:p>
      <w:pPr>
        <w:spacing w:before="60" w:after="60"/>
        <w:jc w:val="both"/>
      </w:pPr>
      <w:r>
        <w:rPr>
          <w:rFonts w:ascii="Arial" w:cs="Arial" w:eastAsia="Arial" w:hAnsi="Arial"/>
          <w:color w:val="404040"/>
          <w:sz w:val="22"/>
          <w:szCs w:val="22"/>
        </w:rPr>
        <w:t xml:space="preserve">A dedicated DMA engine handles all transfers between HBM and the on-chip scratchpad. The DMA engine accepts prefetch commands from the static sequencer with a specified cycle offset — the command says 'begin this transfer so it completes by cycle N.' The DMA engine has eight independent channels, allowing up to eight simultaneous tile prefetches with different priority levels.</w:t>
      </w:r>
    </w:p>
    <w:p>
      <w:pPr>
        <w:spacing w:before="80" w:after="0"/>
      </w:pPr>
      <w:r>
        <w:t xml:space="preserve"/>
      </w:r>
    </w:p>
    <w:p>
      <w:pPr>
        <w:pStyle w:val="Heading3"/>
        <w:spacing w:before="200" w:after="80"/>
      </w:pPr>
      <w:r>
        <w:rPr>
          <w:rFonts w:ascii="Arial" w:cs="Arial" w:eastAsia="Arial" w:hAnsi="Arial"/>
          <w:b/>
          <w:bCs/>
          <w:color w:val="404040"/>
          <w:sz w:val="22"/>
          <w:szCs w:val="22"/>
        </w:rPr>
        <w:t xml:space="preserve">3.3.2 Training Memory Requirements</w:t>
      </w:r>
    </w:p>
    <w:p>
      <w:pPr>
        <w:spacing w:before="60" w:after="60"/>
        <w:jc w:val="both"/>
      </w:pPr>
      <w:r>
        <w:rPr>
          <w:rFonts w:ascii="Arial" w:cs="Arial" w:eastAsia="Arial" w:hAnsi="Arial"/>
          <w:color w:val="404040"/>
          <w:sz w:val="22"/>
          <w:szCs w:val="22"/>
        </w:rPr>
        <w:t xml:space="preserve">Training a large language model requires storing weights, activations (for backward pass), gradients, and optimizer state. The 96 GB HBM capacity supports the following model sizes in various training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Memory per parameter</w:t>
            </w:r>
          </w:p>
        </w:tc>
        <w:tc>
          <w:tcPr>
            <w:tcW w:type="dxa" w:w="37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model 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BF16 inference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 bytes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48B parameters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BF16 training (weights + grads)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 bytes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24B 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BF16 training + Adam optimizer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 bytes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8B parameters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FP8 training (weights only)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 byte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96B parameters</w:t>
            </w:r>
          </w:p>
        </w:tc>
      </w:tr>
    </w:tbl>
    <w:p>
      <w:r>
        <w:br w:type="page"/>
      </w:r>
    </w:p>
    <w:p>
      <w:pPr>
        <w:pStyle w:val="Heading1"/>
        <w:pBdr>
          <w:bottom w:val="single" w:color="4472C4" w:sz="6" w:space="1"/>
        </w:pBdr>
        <w:spacing w:before="400" w:after="200"/>
      </w:pPr>
      <w:r>
        <w:rPr>
          <w:rFonts w:ascii="Arial" w:cs="Arial" w:eastAsia="Arial" w:hAnsi="Arial"/>
          <w:b/>
          <w:bCs/>
          <w:color w:val="1F3A6E"/>
          <w:sz w:val="32"/>
          <w:szCs w:val="32"/>
        </w:rPr>
        <w:t xml:space="preserve">4. Special Function Units</w:t>
      </w:r>
    </w:p>
    <w:p>
      <w:pPr>
        <w:pStyle w:val="Heading2"/>
        <w:spacing w:before="300" w:after="120"/>
      </w:pPr>
      <w:r>
        <w:rPr>
          <w:rFonts w:ascii="Arial" w:cs="Arial" w:eastAsia="Arial" w:hAnsi="Arial"/>
          <w:b/>
          <w:bCs/>
          <w:color w:val="1F3A6E"/>
          <w:sz w:val="26"/>
          <w:szCs w:val="26"/>
        </w:rPr>
        <w:t xml:space="preserve">4.1 Convolution Engine</w:t>
      </w:r>
    </w:p>
    <w:p>
      <w:pPr>
        <w:spacing w:before="60" w:after="60"/>
        <w:jc w:val="both"/>
      </w:pPr>
      <w:r>
        <w:rPr>
          <w:rFonts w:ascii="Arial" w:cs="Arial" w:eastAsia="Arial" w:hAnsi="Arial"/>
          <w:color w:val="404040"/>
          <w:sz w:val="22"/>
          <w:szCs w:val="22"/>
        </w:rPr>
        <w:t xml:space="preserve">While convolution can be expressed as GEMM via the im2col transformation, this wastes memory bandwidth by replicating input data. APEX-1 includes a dedicated convolution engine that supports two optimized paths:</w:t>
      </w:r>
    </w:p>
    <w:p>
      <w:pPr>
        <w:spacing w:before="80" w:after="0"/>
      </w:pPr>
      <w:r>
        <w:t xml:space="preserve"/>
      </w:r>
    </w:p>
    <w:p>
      <w:pPr>
        <w:pStyle w:val="ListParagraph"/>
        <w:numPr>
          <w:ilvl w:val="0"/>
          <w:numId w:val="2"/>
        </w:numPr>
        <w:spacing w:before="40" w:after="40"/>
      </w:pPr>
      <w:r>
        <w:rPr>
          <w:rFonts w:ascii="Arial" w:cs="Arial" w:eastAsia="Arial" w:hAnsi="Arial"/>
          <w:color w:val="404040"/>
          <w:sz w:val="22"/>
          <w:szCs w:val="22"/>
        </w:rPr>
        <w:t xml:space="preserve">im2col path: reshapes 3D input tensors into a 2D matrix on-the-fly as data enters the systolic array. No memory replication required. Used for arbitrary kernel sizes.</w:t>
      </w:r>
    </w:p>
    <w:p>
      <w:pPr>
        <w:pStyle w:val="ListParagraph"/>
        <w:numPr>
          <w:ilvl w:val="0"/>
          <w:numId w:val="2"/>
        </w:numPr>
        <w:spacing w:before="40" w:after="40"/>
      </w:pPr>
      <w:r>
        <w:rPr>
          <w:rFonts w:ascii="Arial" w:cs="Arial" w:eastAsia="Arial" w:hAnsi="Arial"/>
          <w:color w:val="404040"/>
          <w:sz w:val="22"/>
          <w:szCs w:val="22"/>
        </w:rPr>
        <w:t xml:space="preserve">Winograd F(2,3) path: a mathematical transformation that reduces multiply count by 2.25× for 3×3 convolutions — the dominant kernel size in CNNs. The transformation and inverse transformation are applied at the boundaries of each tile. Used automatically by the compiler when kernel size is 3×3 and stride is 1.</w:t>
      </w:r>
    </w:p>
    <w:p>
      <w:pPr>
        <w:spacing w:before="80" w:after="0"/>
      </w:pPr>
      <w:r>
        <w:t xml:space="preserve"/>
      </w:r>
    </w:p>
    <w:p>
      <w:pPr>
        <w:spacing w:before="60" w:after="60"/>
        <w:jc w:val="both"/>
      </w:pPr>
      <w:r>
        <w:rPr>
          <w:rFonts w:ascii="Arial" w:cs="Arial" w:eastAsia="Arial" w:hAnsi="Arial"/>
          <w:color w:val="404040"/>
          <w:sz w:val="22"/>
          <w:szCs w:val="22"/>
        </w:rPr>
        <w:t xml:space="preserve">Both paths produce bit-identical results to a reference convolution. The compiler selects the path based on kernel size, stride, and dilation parameters.</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4.2 Activation and Normalization Unit</w:t>
      </w:r>
    </w:p>
    <w:p>
      <w:pPr>
        <w:spacing w:before="60" w:after="60"/>
        <w:jc w:val="both"/>
      </w:pPr>
      <w:r>
        <w:rPr>
          <w:rFonts w:ascii="Arial" w:cs="Arial" w:eastAsia="Arial" w:hAnsi="Arial"/>
          <w:color w:val="404040"/>
          <w:sz w:val="22"/>
          <w:szCs w:val="22"/>
        </w:rPr>
        <w:t xml:space="preserve">A dedicated combinational circuit processes activation and normalization operations at 512 elements per clock in BF16. These operations run in parallel with the systolic array's output drain, adding zero latency to the end-to-end inference pipeline when fused. Supported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Elements/cycle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ReLU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Activation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512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GELU (tanh approximation)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Activation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512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SiLU / Swish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Activation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512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Sigmoid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Activation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512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Softmax (online, numerically stable)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Normalization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128 (requires row reduction)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LayerNorm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Normalization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256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RMSNorm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Normalization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256</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GroupNorm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Normalization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256</w:t>
            </w:r>
          </w:p>
        </w:tc>
      </w:tr>
    </w:tbl>
    <w:p>
      <w:pPr>
        <w:spacing w:before="120" w:after="0"/>
      </w:pPr>
      <w:r>
        <w:t xml:space="preserve"/>
      </w:r>
    </w:p>
    <w:p>
      <w:pPr>
        <w:pStyle w:val="Heading2"/>
        <w:spacing w:before="300" w:after="120"/>
      </w:pPr>
      <w:r>
        <w:rPr>
          <w:rFonts w:ascii="Arial" w:cs="Arial" w:eastAsia="Arial" w:hAnsi="Arial"/>
          <w:b/>
          <w:bCs/>
          <w:color w:val="1F3A6E"/>
          <w:sz w:val="26"/>
          <w:szCs w:val="26"/>
        </w:rPr>
        <w:t xml:space="preserve">4.3 Gradient Accumulator (Training)</w:t>
      </w:r>
    </w:p>
    <w:p>
      <w:pPr>
        <w:spacing w:before="60" w:after="60"/>
        <w:jc w:val="both"/>
      </w:pPr>
      <w:r>
        <w:rPr>
          <w:rFonts w:ascii="Arial" w:cs="Arial" w:eastAsia="Arial" w:hAnsi="Arial"/>
          <w:color w:val="404040"/>
          <w:sz w:val="22"/>
          <w:szCs w:val="22"/>
        </w:rPr>
        <w:t xml:space="preserve">During backpropagation, gradient tensors are computed as BF16 products and must be accumulated in full FP32 precision to avoid catastrophic cancellation at small gradient magnitudes. The gradient accumulator is a 256-entry FP32 register file that aggregates partial gradients from all four MXU clusters before writing the final gradient tensor back to HBM. This is the only FP32 data path in the chip.</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4.4 All-Reduce Engine</w:t>
      </w:r>
    </w:p>
    <w:p>
      <w:pPr>
        <w:spacing w:before="60" w:after="60"/>
        <w:jc w:val="both"/>
      </w:pPr>
      <w:r>
        <w:rPr>
          <w:rFonts w:ascii="Arial" w:cs="Arial" w:eastAsia="Arial" w:hAnsi="Arial"/>
          <w:color w:val="404040"/>
          <w:sz w:val="22"/>
          <w:szCs w:val="22"/>
        </w:rPr>
        <w:t xml:space="preserve">For multi-die and multi-card training, gradient tensors must be summed across all accelerators (the all-reduce collective operation). A dedicated all-reduce engine handles ring and tree topologies over the UCIe die-to-die link and the NVLink-class inter-card interconnect. The compiler inserts SYNC_BARRIER and ALL_REDUCE instructions at the appropriate points in the training graph; no runtime collective negotiation is required.</w:t>
      </w:r>
    </w:p>
    <w:p>
      <w:r>
        <w:br w:type="page"/>
      </w:r>
    </w:p>
    <w:p>
      <w:pPr>
        <w:pStyle w:val="Heading1"/>
        <w:pBdr>
          <w:bottom w:val="single" w:color="4472C4" w:sz="6" w:space="1"/>
        </w:pBdr>
        <w:spacing w:before="400" w:after="200"/>
      </w:pPr>
      <w:r>
        <w:rPr>
          <w:rFonts w:ascii="Arial" w:cs="Arial" w:eastAsia="Arial" w:hAnsi="Arial"/>
          <w:b/>
          <w:bCs/>
          <w:color w:val="1F3A6E"/>
          <w:sz w:val="32"/>
          <w:szCs w:val="32"/>
        </w:rPr>
        <w:t xml:space="preserve">5. Instruction Set Architecture (ISA)</w:t>
      </w:r>
    </w:p>
    <w:p>
      <w:pPr>
        <w:spacing w:before="60" w:after="60"/>
        <w:jc w:val="both"/>
      </w:pPr>
      <w:r>
        <w:rPr>
          <w:rFonts w:ascii="Arial" w:cs="Arial" w:eastAsia="Arial" w:hAnsi="Arial"/>
          <w:color w:val="404040"/>
          <w:sz w:val="22"/>
          <w:szCs w:val="22"/>
        </w:rPr>
        <w:t xml:space="preserve">APEX-1's ISA contains exactly 18 instructions. This is by design — the instruction set is the primary mechanism that makes the chip AI-only. There are no branches, no integer arithmetic instructions, no load/store instructions for arbitrary addresses, and no general-purpose registers. A conventional binary cannot execute on APEX-1.</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5.1 Instruction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960"/>
        <w:gridCol w:w="2200"/>
      </w:tblGrid>
      <w:tr>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Instruction</w:t>
            </w:r>
          </w:p>
        </w:tc>
        <w:tc>
          <w:tcPr>
            <w:tcW w:type="dxa" w:w="2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Operands</w:t>
            </w:r>
          </w:p>
        </w:tc>
        <w:tc>
          <w:tcPr>
            <w:tcW w:type="dxa" w:w="29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Latency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LOAD_TILE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src_hbm, dst_spad, shape, dtype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DMA transfer from HBM to scratchpad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Async (120 cycles typical)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STORE_TILE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src_spad, dst_hbm, shape, dtype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DMA writeback from scratchpad to HBM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MATMUL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A_addr, B_addr, C_addr, M,N,K, dtype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Systolic GEMM tile computation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MNK / (MACs × clock)</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CONV2D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in, weight, out, stride, pad, groups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2D convolution (im2col or Winograd)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Variable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SPARSE_MM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 B_sparse, B_mask, C, shape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Sparse GEMM with 2:4 structured mask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 MATMUL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ADD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 B, C, 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Element-wise addition (BF16/FP32)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 / 512 cycles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SCALE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 scalar, C, 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Scalar multiply (BF16)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 / 512 cycles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ACTIVATE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 C, fn, 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Activation function (see §4.2)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 / 512 cycles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NORMALIZE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 C, fn, shape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LayerNorm / RMSNorm / GroupNorm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Variable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SOFTMAX</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 C, dim, 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Numerically stable row softmax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 / 128 cycles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REDUCE_SUM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 C, dim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Reduction along specified dimension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Variable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REDUCE_MAX</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 C, dim</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Max reduction along dimension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Variable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TRANSPOSE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 C, shape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Tensor layout permutation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Variable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GRAD_ACCUM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src, 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Accumulate BF16 gradients into FP32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 / 256 cycles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ALL_REDUCE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addr, N, op, topology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Cross-die/card gradient reduction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Network-dependent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DMA_PREFETCH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hbm_addr, spad_addr, size, cycle_offset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Scheduled async prefetch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 (fires at cycle_offset)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SYNC_BARRIER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barrier_id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Stall until all tiles reach barrier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Variable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NOP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(none)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No operation, advance sequencer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 cycle</w:t>
            </w:r>
          </w:p>
        </w:tc>
      </w:tr>
    </w:tbl>
    <w:p>
      <w:pPr>
        <w:spacing w:before="120" w:after="0"/>
      </w:pPr>
      <w:r>
        <w:t xml:space="preserve"/>
      </w:r>
    </w:p>
    <w:p>
      <w:pPr>
        <w:pStyle w:val="Heading2"/>
        <w:spacing w:before="300" w:after="120"/>
      </w:pPr>
      <w:r>
        <w:rPr>
          <w:rFonts w:ascii="Arial" w:cs="Arial" w:eastAsia="Arial" w:hAnsi="Arial"/>
          <w:b/>
          <w:bCs/>
          <w:color w:val="1F3A6E"/>
          <w:sz w:val="26"/>
          <w:szCs w:val="26"/>
        </w:rPr>
        <w:t xml:space="preserve">5.2 Instruction Encoding</w:t>
      </w:r>
    </w:p>
    <w:p>
      <w:pPr>
        <w:spacing w:before="60" w:after="60"/>
        <w:jc w:val="both"/>
      </w:pPr>
      <w:r>
        <w:rPr>
          <w:rFonts w:ascii="Arial" w:cs="Arial" w:eastAsia="Arial" w:hAnsi="Arial"/>
          <w:color w:val="404040"/>
          <w:sz w:val="22"/>
          <w:szCs w:val="22"/>
        </w:rPr>
        <w:t xml:space="preserve">All instructions are fixed-width 128-bit encoded. Bits [7:0] encode the opcode. Bits [127:8] encode operand fields whose layout is opcode-dependent. The compiler generates a flat instruction stream with no labels, no relocations, and no runtime linking. The instruction stream for a single inference pass is a fully materialized binary blob submitted to the sequencer via DMA from the host.</w:t>
      </w:r>
    </w:p>
    <w:p>
      <w:r>
        <w:br w:type="page"/>
      </w:r>
    </w:p>
    <w:p>
      <w:pPr>
        <w:pStyle w:val="Heading1"/>
        <w:pBdr>
          <w:bottom w:val="single" w:color="4472C4" w:sz="6" w:space="1"/>
        </w:pBdr>
        <w:spacing w:before="400" w:after="200"/>
      </w:pPr>
      <w:r>
        <w:rPr>
          <w:rFonts w:ascii="Arial" w:cs="Arial" w:eastAsia="Arial" w:hAnsi="Arial"/>
          <w:b/>
          <w:bCs/>
          <w:color w:val="1F3A6E"/>
          <w:sz w:val="32"/>
          <w:szCs w:val="32"/>
        </w:rPr>
        <w:t xml:space="preserve">6. Power Architecture</w:t>
      </w:r>
    </w:p>
    <w:p>
      <w:pPr>
        <w:pStyle w:val="Heading2"/>
        <w:spacing w:before="300" w:after="120"/>
      </w:pPr>
      <w:r>
        <w:rPr>
          <w:rFonts w:ascii="Arial" w:cs="Arial" w:eastAsia="Arial" w:hAnsi="Arial"/>
          <w:b/>
          <w:bCs/>
          <w:color w:val="1F3A6E"/>
          <w:sz w:val="26"/>
          <w:szCs w:val="26"/>
        </w:rPr>
        <w:t xml:space="preserve">6.1 Voltage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400"/>
        <w:gridCol w:w="2760"/>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1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Voltage</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(peak)</w:t>
            </w:r>
          </w:p>
        </w:tc>
        <w:tc>
          <w:tcPr>
            <w:tcW w:type="dxa" w:w="1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Power</w:t>
            </w:r>
          </w:p>
        </w:tc>
        <w:tc>
          <w:tcPr>
            <w:tcW w:type="dxa" w:w="27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Powered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Core (MXU + SRAM)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0.75 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~400 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~300 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12-phase VRM (XDPE232G3)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HBM interface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1.1 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~80 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~88 W</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 TPS53681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I/O (PCIe, UCIe PHYs)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1.8 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~20 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~36 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 LMZ36002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Auxiliary (BMC, sensors)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3.3 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 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 W</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 LMZ36002</w:t>
            </w:r>
          </w:p>
        </w:tc>
      </w:tr>
    </w:tbl>
    <w:p>
      <w:pPr>
        <w:spacing w:before="120" w:after="0"/>
      </w:pPr>
      <w:r>
        <w:t xml:space="preserve"/>
      </w:r>
    </w:p>
    <w:p>
      <w:pPr>
        <w:pStyle w:val="Heading2"/>
        <w:spacing w:before="300" w:after="120"/>
      </w:pPr>
      <w:r>
        <w:rPr>
          <w:rFonts w:ascii="Arial" w:cs="Arial" w:eastAsia="Arial" w:hAnsi="Arial"/>
          <w:b/>
          <w:bCs/>
          <w:color w:val="1F3A6E"/>
          <w:sz w:val="26"/>
          <w:szCs w:val="26"/>
        </w:rPr>
        <w:t xml:space="preserve">6.2 Power Gating</w:t>
      </w:r>
    </w:p>
    <w:p>
      <w:pPr>
        <w:spacing w:before="60" w:after="60"/>
        <w:jc w:val="both"/>
      </w:pPr>
      <w:r>
        <w:rPr>
          <w:rFonts w:ascii="Arial" w:cs="Arial" w:eastAsia="Arial" w:hAnsi="Arial"/>
          <w:color w:val="404040"/>
          <w:sz w:val="22"/>
          <w:szCs w:val="22"/>
        </w:rPr>
        <w:t xml:space="preserve">Each MXU cluster has an independent power gate controlled by the static sequencer. When the compiler schedule has a cluster idle for more than 16 cycles, the sequencer asserts the cluster's power gate, cutting VDD to the MAC cells and local SRAM. Wakeup latency is 4 cycles. The global scratchpad and DMA engine remain powered continuously.</w:t>
      </w:r>
    </w:p>
    <w:p>
      <w:pPr>
        <w:spacing w:before="80" w:after="0"/>
      </w:pPr>
      <w:r>
        <w:t xml:space="preserve"/>
      </w:r>
    </w:p>
    <w:p>
      <w:pPr>
        <w:spacing w:before="60" w:after="60"/>
        <w:jc w:val="both"/>
      </w:pPr>
      <w:r>
        <w:rPr>
          <w:rFonts w:ascii="Arial" w:cs="Arial" w:eastAsia="Arial" w:hAnsi="Arial"/>
          <w:color w:val="404040"/>
          <w:sz w:val="22"/>
          <w:szCs w:val="22"/>
        </w:rPr>
        <w:t xml:space="preserve">Clock gating is applied at the individual systolic array level — any array not receiving a MATMUL command in the current cycle has its clock tree gated. This reduces dynamic power proportionally to the utilization rate.</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6.3 Dynamic Voltage and Frequency Scaling (DVFS)</w:t>
      </w:r>
    </w:p>
    <w:p>
      <w:pPr>
        <w:spacing w:before="60" w:after="60"/>
        <w:jc w:val="both"/>
      </w:pPr>
      <w:r>
        <w:rPr>
          <w:rFonts w:ascii="Arial" w:cs="Arial" w:eastAsia="Arial" w:hAnsi="Arial"/>
          <w:color w:val="404040"/>
          <w:sz w:val="22"/>
          <w:szCs w:val="22"/>
        </w:rPr>
        <w:t xml:space="preserve">The chip supports three operating points selectable by the host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Core voltage</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Approx. power</w:t>
            </w:r>
          </w:p>
        </w:tc>
        <w:tc>
          <w:tcPr>
            <w:tcW w:type="dxa" w:w="29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Performance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1.0 GHz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0.75 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~400 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Full training, latency-critical inference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Balanced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800 MHz</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0.70 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~260 W</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Sustained inference, thermal-constrained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Efficiency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500 MHz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0.65 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~120 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Low-priority background workloads</w:t>
            </w:r>
          </w:p>
        </w:tc>
      </w:tr>
    </w:tbl>
    <w:p>
      <w:r>
        <w:br w:type="page"/>
      </w:r>
    </w:p>
    <w:p>
      <w:pPr>
        <w:pStyle w:val="Heading1"/>
        <w:pBdr>
          <w:bottom w:val="single" w:color="4472C4" w:sz="6" w:space="1"/>
        </w:pBdr>
        <w:spacing w:before="400" w:after="200"/>
      </w:pPr>
      <w:r>
        <w:rPr>
          <w:rFonts w:ascii="Arial" w:cs="Arial" w:eastAsia="Arial" w:hAnsi="Arial"/>
          <w:b/>
          <w:bCs/>
          <w:color w:val="1F3A6E"/>
          <w:sz w:val="32"/>
          <w:szCs w:val="32"/>
        </w:rPr>
        <w:t xml:space="preserve">7. Multi-Die Scaling</w:t>
      </w:r>
    </w:p>
    <w:p>
      <w:pPr>
        <w:pStyle w:val="Heading2"/>
        <w:spacing w:before="300" w:after="120"/>
      </w:pPr>
      <w:r>
        <w:rPr>
          <w:rFonts w:ascii="Arial" w:cs="Arial" w:eastAsia="Arial" w:hAnsi="Arial"/>
          <w:b/>
          <w:bCs/>
          <w:color w:val="1F3A6E"/>
          <w:sz w:val="26"/>
          <w:szCs w:val="26"/>
        </w:rPr>
        <w:t xml:space="preserve">7.1 Package Architecture</w:t>
      </w:r>
    </w:p>
    <w:p>
      <w:pPr>
        <w:spacing w:before="60" w:after="60"/>
        <w:jc w:val="both"/>
      </w:pPr>
      <w:r>
        <w:rPr>
          <w:rFonts w:ascii="Arial" w:cs="Arial" w:eastAsia="Arial" w:hAnsi="Arial"/>
          <w:color w:val="404040"/>
          <w:sz w:val="22"/>
          <w:szCs w:val="22"/>
        </w:rPr>
        <w:t xml:space="preserve">Four APEX-1 compute dies are mounted on a TSMC CoWoS-L silicon interposer alongside two HBM3e stacks. The interposer provides the high-density die-to-die wiring required for the 20 TB/s UCIe 2.0 interconnect between dies. The assembled package is approximately 70mm × 70mm and attaches to the PCB via a large BGA array on a package substrate.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Interposer component</w:t>
            </w:r>
          </w:p>
        </w:tc>
        <w:tc>
          <w:tcPr>
            <w:tcW w:type="dxa" w:w="5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Interposer technology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TSMC CoWoS-L (passive silicon interposer)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Interposer size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~75mm × 75mm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Die-to-die link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UCIe 2.0, 20 TB/s per die pair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HBM3e stacks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 SK Hynix HBM3E, 48 GB / 3 TB/s each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Package substrate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FCBGA, ~75mm × 75mm, 0.8mm BGA pitch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Total BGA pins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~8,000 (signal + power + ground)</w:t>
            </w:r>
          </w:p>
        </w:tc>
      </w:tr>
    </w:tbl>
    <w:p>
      <w:pPr>
        <w:spacing w:before="120" w:after="0"/>
      </w:pPr>
      <w:r>
        <w:t xml:space="preserve"/>
      </w:r>
    </w:p>
    <w:p>
      <w:pPr>
        <w:pStyle w:val="Heading2"/>
        <w:spacing w:before="300" w:after="120"/>
      </w:pPr>
      <w:r>
        <w:rPr>
          <w:rFonts w:ascii="Arial" w:cs="Arial" w:eastAsia="Arial" w:hAnsi="Arial"/>
          <w:b/>
          <w:bCs/>
          <w:color w:val="1F3A6E"/>
          <w:sz w:val="26"/>
          <w:szCs w:val="26"/>
        </w:rPr>
        <w:t xml:space="preserve">7.2 Compiler View of Multi-Die System</w:t>
      </w:r>
    </w:p>
    <w:p>
      <w:pPr>
        <w:spacing w:before="60" w:after="60"/>
        <w:jc w:val="both"/>
      </w:pPr>
      <w:r>
        <w:rPr>
          <w:rFonts w:ascii="Arial" w:cs="Arial" w:eastAsia="Arial" w:hAnsi="Arial"/>
          <w:color w:val="404040"/>
          <w:sz w:val="22"/>
          <w:szCs w:val="22"/>
        </w:rPr>
        <w:t xml:space="preserve">The compiler treats the four-die package as a single logical accelerator with 64 systolic arrays and a unified 256 MB scratchpad address space. The UCIe links between dies are exposed as high-bandwidth shared-memory channels — the compiler can address scratchpad memory on any die from any other die at the cost of one hop latency (~10 ns). All-reduce operations across dies are handled by the ALL_REDUCE instruction with topology=RING, which the sequencer maps to the hardware ring formed by the four UCIe links.</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7.3 Multi-Card Scale-Out</w:t>
      </w:r>
    </w:p>
    <w:p>
      <w:pPr>
        <w:spacing w:before="60" w:after="60"/>
        <w:jc w:val="both"/>
      </w:pPr>
      <w:r>
        <w:rPr>
          <w:rFonts w:ascii="Arial" w:cs="Arial" w:eastAsia="Arial" w:hAnsi="Arial"/>
          <w:color w:val="404040"/>
          <w:sz w:val="22"/>
          <w:szCs w:val="22"/>
        </w:rPr>
        <w:t xml:space="preserve">Multiple APEX-1 cards can be connected via NVLink-class connectors on the board edge, forming a pod of up to 8 cards (32 dies, ~25,000 TOPS INT8). The ALL_REDUCE instruction with topology=TREE handles cross-card gradient aggregation. The all-reduce engine selects ring or tree topology automatically based on the number of participating cards.</w:t>
      </w:r>
    </w:p>
    <w:p>
      <w:r>
        <w:br w:type="page"/>
      </w:r>
    </w:p>
    <w:p>
      <w:pPr>
        <w:pStyle w:val="Heading1"/>
        <w:pBdr>
          <w:bottom w:val="single" w:color="4472C4" w:sz="6" w:space="1"/>
        </w:pBdr>
        <w:spacing w:before="400" w:after="200"/>
      </w:pPr>
      <w:r>
        <w:rPr>
          <w:rFonts w:ascii="Arial" w:cs="Arial" w:eastAsia="Arial" w:hAnsi="Arial"/>
          <w:b/>
          <w:bCs/>
          <w:color w:val="1F3A6E"/>
          <w:sz w:val="32"/>
          <w:szCs w:val="32"/>
        </w:rPr>
        <w:t xml:space="preserve">8. Board Design</w:t>
      </w:r>
    </w:p>
    <w:p>
      <w:pPr>
        <w:pStyle w:val="Heading2"/>
        <w:spacing w:before="300" w:after="120"/>
      </w:pPr>
      <w:r>
        <w:rPr>
          <w:rFonts w:ascii="Arial" w:cs="Arial" w:eastAsia="Arial" w:hAnsi="Arial"/>
          <w:b/>
          <w:bCs/>
          <w:color w:val="1F3A6E"/>
          <w:sz w:val="26"/>
          <w:szCs w:val="26"/>
        </w:rPr>
        <w:t xml:space="preserve">8.1 Form Factor</w:t>
      </w:r>
    </w:p>
    <w:p>
      <w:pPr>
        <w:spacing w:before="60" w:after="60"/>
        <w:jc w:val="both"/>
      </w:pPr>
      <w:r>
        <w:rPr>
          <w:rFonts w:ascii="Arial" w:cs="Arial" w:eastAsia="Arial" w:hAnsi="Arial"/>
          <w:color w:val="404040"/>
          <w:sz w:val="22"/>
          <w:szCs w:val="22"/>
        </w:rPr>
        <w:t xml:space="preserve">The APEX-1 accelerator board follows an OAM (OCP Accelerator Module) form factor, approximately 275mm × 100mm, compatible with standard OAM baseboard slots used in AI server infrastructure. It can also be deployed in a custom PCIe x16 full-height, full-length (FHFL) carrier for workstation installations.</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8.2 PCB Stack-up</w:t>
      </w:r>
    </w:p>
    <w:p>
      <w:pPr>
        <w:spacing w:before="60" w:after="60"/>
        <w:jc w:val="both"/>
      </w:pPr>
      <w:r>
        <w:rPr>
          <w:rFonts w:ascii="Arial" w:cs="Arial" w:eastAsia="Arial" w:hAnsi="Arial"/>
          <w:color w:val="404040"/>
          <w:sz w:val="22"/>
          <w:szCs w:val="22"/>
        </w:rPr>
        <w:t xml:space="preserve">The board uses a 24-layer PCB with 2 oz copper on power planes and 0.5 oz copper on signal layers. The stack-up is optimized for signal integrity on PCIe 5.0 and HBM interface signals, and for low-impedance power delivery on the 0.75V core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Layers</w:t>
            </w:r>
          </w:p>
        </w:tc>
        <w:tc>
          <w:tcPr>
            <w:tcW w:type="dxa" w:w="4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3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Copper weight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Signal — component side, BGA escape routing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 oz</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GND reference plane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 oz</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VDD core (0.75V) — primary power plane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 oz</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5–8</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Signal — PCIe 5.0, UCIe, high-speed differential pairs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0.5 oz</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oz</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VDD HBM (1.1V)</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 oz</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11–14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Signal — inner high-speed, length-matched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0.5 oz</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15</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GND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 oz</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VDD I/O (1.8V)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oz</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17–22</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Signal — lower-speed, management, sensors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0.5 oz</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GND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oz</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24</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Signal — bottom, connector side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0.5 oz</w:t>
            </w:r>
          </w:p>
        </w:tc>
      </w:tr>
    </w:tbl>
    <w:p>
      <w:pPr>
        <w:spacing w:before="120" w:after="0"/>
      </w:pPr>
      <w:r>
        <w:t xml:space="preserve"/>
      </w:r>
    </w:p>
    <w:p>
      <w:pPr>
        <w:pStyle w:val="Heading2"/>
        <w:spacing w:before="300" w:after="120"/>
      </w:pPr>
      <w:r>
        <w:rPr>
          <w:rFonts w:ascii="Arial" w:cs="Arial" w:eastAsia="Arial" w:hAnsi="Arial"/>
          <w:b/>
          <w:bCs/>
          <w:color w:val="1F3A6E"/>
          <w:sz w:val="26"/>
          <w:szCs w:val="26"/>
        </w:rPr>
        <w:t xml:space="preserve">8.3 Power Delivery Network (PDN)</w:t>
      </w:r>
    </w:p>
    <w:p>
      <w:pPr>
        <w:spacing w:before="60" w:after="60"/>
        <w:jc w:val="both"/>
      </w:pPr>
      <w:r>
        <w:rPr>
          <w:rFonts w:ascii="Arial" w:cs="Arial" w:eastAsia="Arial" w:hAnsi="Arial"/>
          <w:color w:val="404040"/>
          <w:sz w:val="22"/>
          <w:szCs w:val="22"/>
        </w:rPr>
        <w:t xml:space="preserve">The PDN is the most critical board-level design challenge. The 0.75V core rail carries up to 400A — more than most automotive battery systems. Key design parameters:</w:t>
      </w:r>
    </w:p>
    <w:p>
      <w:pPr>
        <w:spacing w:before="60" w:after="0"/>
      </w:pPr>
      <w:r>
        <w:t xml:space="preserve"/>
      </w:r>
    </w:p>
    <w:p>
      <w:pPr>
        <w:pStyle w:val="ListParagraph"/>
        <w:numPr>
          <w:ilvl w:val="0"/>
          <w:numId w:val="2"/>
        </w:numPr>
        <w:spacing w:before="40" w:after="40"/>
      </w:pPr>
      <w:r>
        <w:rPr>
          <w:rFonts w:ascii="Arial" w:cs="Arial" w:eastAsia="Arial" w:hAnsi="Arial"/>
          <w:color w:val="404040"/>
          <w:sz w:val="22"/>
          <w:szCs w:val="22"/>
        </w:rPr>
        <w:t xml:space="preserve">12-phase buck converter topology (Infineon XDPE232G3 controller + 12× TI CSD95490 power stages)</w:t>
      </w:r>
    </w:p>
    <w:p>
      <w:pPr>
        <w:pStyle w:val="ListParagraph"/>
        <w:numPr>
          <w:ilvl w:val="0"/>
          <w:numId w:val="2"/>
        </w:numPr>
        <w:spacing w:before="40" w:after="40"/>
      </w:pPr>
      <w:r>
        <w:rPr>
          <w:rFonts w:ascii="Arial" w:cs="Arial" w:eastAsia="Arial" w:hAnsi="Arial"/>
          <w:color w:val="404040"/>
          <w:sz w:val="22"/>
          <w:szCs w:val="22"/>
        </w:rPr>
        <w:t xml:space="preserve">PDN target impedance: &lt; 1 mΩ from DC to 500 MHz at package pins</w:t>
      </w:r>
    </w:p>
    <w:p>
      <w:pPr>
        <w:pStyle w:val="ListParagraph"/>
        <w:numPr>
          <w:ilvl w:val="0"/>
          <w:numId w:val="2"/>
        </w:numPr>
        <w:spacing w:before="40" w:after="40"/>
      </w:pPr>
      <w:r>
        <w:rPr>
          <w:rFonts w:ascii="Arial" w:cs="Arial" w:eastAsia="Arial" w:hAnsi="Arial"/>
          <w:color w:val="404040"/>
          <w:sz w:val="22"/>
          <w:szCs w:val="22"/>
        </w:rPr>
        <w:t xml:space="preserve">100× 100µF X5R 0402 MLCCs within 3mm of package edge (handles 1–100 MHz band)</w:t>
      </w:r>
    </w:p>
    <w:p>
      <w:pPr>
        <w:pStyle w:val="ListParagraph"/>
        <w:numPr>
          <w:ilvl w:val="0"/>
          <w:numId w:val="2"/>
        </w:numPr>
        <w:spacing w:before="40" w:after="40"/>
      </w:pPr>
      <w:r>
        <w:rPr>
          <w:rFonts w:ascii="Arial" w:cs="Arial" w:eastAsia="Arial" w:hAnsi="Arial"/>
          <w:color w:val="404040"/>
          <w:sz w:val="22"/>
          <w:szCs w:val="22"/>
        </w:rPr>
        <w:t xml:space="preserve">2× 1mF electrolytic bulk capacitors per power rail (handles 10 kHz–1 MHz)</w:t>
      </w:r>
    </w:p>
    <w:p>
      <w:pPr>
        <w:pStyle w:val="ListParagraph"/>
        <w:numPr>
          <w:ilvl w:val="0"/>
          <w:numId w:val="2"/>
        </w:numPr>
        <w:spacing w:before="40" w:after="40"/>
      </w:pPr>
      <w:r>
        <w:rPr>
          <w:rFonts w:ascii="Arial" w:cs="Arial" w:eastAsia="Arial" w:hAnsi="Arial"/>
          <w:color w:val="404040"/>
          <w:sz w:val="22"/>
          <w:szCs w:val="22"/>
        </w:rPr>
        <w:t xml:space="preserve">2 oz copper on core power plane to minimize DC resistance</w:t>
      </w:r>
    </w:p>
    <w:p>
      <w:pPr>
        <w:pStyle w:val="ListParagraph"/>
        <w:numPr>
          <w:ilvl w:val="0"/>
          <w:numId w:val="2"/>
        </w:numPr>
        <w:spacing w:before="40" w:after="40"/>
      </w:pPr>
      <w:r>
        <w:rPr>
          <w:rFonts w:ascii="Arial" w:cs="Arial" w:eastAsia="Arial" w:hAnsi="Arial"/>
          <w:color w:val="404040"/>
          <w:sz w:val="22"/>
          <w:szCs w:val="22"/>
        </w:rPr>
        <w:t xml:space="preserve">Power plane stitched with vias every 5mm to reduce plane inductance</w:t>
      </w:r>
    </w:p>
    <w:p>
      <w:pPr>
        <w:pStyle w:val="ListParagraph"/>
        <w:numPr>
          <w:ilvl w:val="0"/>
          <w:numId w:val="2"/>
        </w:numPr>
        <w:spacing w:before="40" w:after="40"/>
      </w:pPr>
      <w:r>
        <w:rPr>
          <w:rFonts w:ascii="Arial" w:cs="Arial" w:eastAsia="Arial" w:hAnsi="Arial"/>
          <w:color w:val="404040"/>
          <w:sz w:val="22"/>
          <w:szCs w:val="22"/>
        </w:rPr>
        <w:t xml:space="preserve">48V direct rack power input with on-board 48V-to-12V conversion (TI LM5170 48V buck)</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8.4 Signal Integrity</w:t>
      </w:r>
    </w:p>
    <w:p>
      <w:pPr>
        <w:spacing w:before="60" w:after="60"/>
        <w:jc w:val="both"/>
      </w:pPr>
      <w:r>
        <w:rPr>
          <w:rFonts w:ascii="Arial" w:cs="Arial" w:eastAsia="Arial" w:hAnsi="Arial"/>
          <w:color w:val="404040"/>
          <w:sz w:val="22"/>
          <w:szCs w:val="22"/>
        </w:rPr>
        <w:t xml:space="preserve">PCIe 5.0 x16 operates at 32 GT/s per lane, requiring careful trace routing:</w:t>
      </w:r>
    </w:p>
    <w:p>
      <w:pPr>
        <w:spacing w:before="60" w:after="0"/>
      </w:pPr>
      <w:r>
        <w:t xml:space="preserve"/>
      </w:r>
    </w:p>
    <w:p>
      <w:pPr>
        <w:pStyle w:val="ListParagraph"/>
        <w:numPr>
          <w:ilvl w:val="0"/>
          <w:numId w:val="2"/>
        </w:numPr>
        <w:spacing w:before="40" w:after="40"/>
      </w:pPr>
      <w:r>
        <w:rPr>
          <w:rFonts w:ascii="Arial" w:cs="Arial" w:eastAsia="Arial" w:hAnsi="Arial"/>
          <w:color w:val="404040"/>
          <w:sz w:val="22"/>
          <w:szCs w:val="22"/>
        </w:rPr>
        <w:t xml:space="preserve">All PCIe and UCIe differential pairs routed as 85 Ω controlled-impedance traces on inner signal layers</w:t>
      </w:r>
    </w:p>
    <w:p>
      <w:pPr>
        <w:pStyle w:val="ListParagraph"/>
        <w:numPr>
          <w:ilvl w:val="0"/>
          <w:numId w:val="2"/>
        </w:numPr>
        <w:spacing w:before="40" w:after="40"/>
      </w:pPr>
      <w:r>
        <w:rPr>
          <w:rFonts w:ascii="Arial" w:cs="Arial" w:eastAsia="Arial" w:hAnsi="Arial"/>
          <w:color w:val="404040"/>
          <w:sz w:val="22"/>
          <w:szCs w:val="22"/>
        </w:rPr>
        <w:t xml:space="preserve">Lane-to-lane length matching within ±0.5mm; intra-pair matching within ±0.05mm</w:t>
      </w:r>
    </w:p>
    <w:p>
      <w:pPr>
        <w:pStyle w:val="ListParagraph"/>
        <w:numPr>
          <w:ilvl w:val="0"/>
          <w:numId w:val="2"/>
        </w:numPr>
        <w:spacing w:before="40" w:after="40"/>
      </w:pPr>
      <w:r>
        <w:rPr>
          <w:rFonts w:ascii="Arial" w:cs="Arial" w:eastAsia="Arial" w:hAnsi="Arial"/>
          <w:color w:val="404040"/>
          <w:sz w:val="22"/>
          <w:szCs w:val="22"/>
        </w:rPr>
        <w:t xml:space="preserve">PCIe 5.0 retimer (TI DS250DF810) on the card edge to regenerate signals over board trace losses</w:t>
      </w:r>
    </w:p>
    <w:p>
      <w:pPr>
        <w:pStyle w:val="ListParagraph"/>
        <w:numPr>
          <w:ilvl w:val="0"/>
          <w:numId w:val="2"/>
        </w:numPr>
        <w:spacing w:before="40" w:after="40"/>
      </w:pPr>
      <w:r>
        <w:rPr>
          <w:rFonts w:ascii="Arial" w:cs="Arial" w:eastAsia="Arial" w:hAnsi="Arial"/>
          <w:color w:val="404040"/>
          <w:sz w:val="22"/>
          <w:szCs w:val="22"/>
        </w:rPr>
        <w:t xml:space="preserve">Ground vias placed within 1mm of every signal via to maintain reference return paths</w:t>
      </w:r>
    </w:p>
    <w:p>
      <w:pPr>
        <w:pStyle w:val="ListParagraph"/>
        <w:numPr>
          <w:ilvl w:val="0"/>
          <w:numId w:val="2"/>
        </w:numPr>
        <w:spacing w:before="40" w:after="40"/>
      </w:pPr>
      <w:r>
        <w:rPr>
          <w:rFonts w:ascii="Arial" w:cs="Arial" w:eastAsia="Arial" w:hAnsi="Arial"/>
          <w:color w:val="404040"/>
          <w:sz w:val="22"/>
          <w:szCs w:val="22"/>
        </w:rPr>
        <w:t xml:space="preserve">BGA escape vias: 0.1mm laser-drilled micro-vias on 0.8mm pitch grid under the package</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8.5 Thermal Design</w:t>
      </w:r>
    </w:p>
    <w:p>
      <w:pPr>
        <w:spacing w:before="60" w:after="60"/>
        <w:jc w:val="both"/>
      </w:pPr>
      <w:r>
        <w:rPr>
          <w:rFonts w:ascii="Arial" w:cs="Arial" w:eastAsia="Arial" w:hAnsi="Arial"/>
          <w:color w:val="404040"/>
          <w:sz w:val="22"/>
          <w:szCs w:val="22"/>
        </w:rPr>
        <w:t xml:space="preserve">At 400W in a 70mm × 70mm package, the heat flux is approximately 8 W/cm², which mandates liquid cooling. The thermal stack from silicon junction to coolant: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500"/>
        <w:gridCol w:w="3160"/>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Interface</w:t>
            </w:r>
          </w:p>
        </w:tc>
        <w:tc>
          <w:tcPr>
            <w:tcW w:type="dxa" w:w="2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Material</w:t>
            </w:r>
          </w:p>
        </w:tc>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Bond line</w:t>
            </w:r>
          </w:p>
        </w:tc>
        <w:tc>
          <w:tcPr>
            <w:tcW w:type="dxa" w:w="31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Thermal resistance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Junction to package lid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Indium TIM2 (soldered)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0.05 mm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0.02 °C/W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Package lid to cold plate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Liquid metal (Thermal Grizzly Conductonaut)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0.10 mm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0.005 °C/W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Cold plate (copper microchannels)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Water, 20 LPM, 30°C inlet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0.08 °C/W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System total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~0.11 °C/W → ~44°C rise at 400W</w:t>
            </w:r>
          </w:p>
        </w:tc>
      </w:tr>
    </w:tbl>
    <w:p>
      <w:pPr>
        <w:spacing w:before="80" w:after="0"/>
      </w:pPr>
      <w:r>
        <w:t xml:space="preserve"/>
      </w:r>
    </w:p>
    <w:p>
      <w:pPr>
        <w:spacing w:before="60" w:after="60"/>
        <w:jc w:val="both"/>
      </w:pPr>
      <w:r>
        <w:rPr>
          <w:rFonts w:ascii="Arial" w:cs="Arial" w:eastAsia="Arial" w:hAnsi="Arial"/>
          <w:color w:val="404040"/>
          <w:sz w:val="22"/>
          <w:szCs w:val="22"/>
        </w:rPr>
        <w:t xml:space="preserve">Resulting junction temperature at 400W TDP and 30°C coolant inlet: approximately 74°C. Maximum junction temperature rating: 95°C. Thermal headroom: 21°C. The BMC monitors junction temperature via 8× TI TMP117 sensors placed at die-edge positions on the board and implements a PID control loop for fan or pump speed.</w:t>
      </w:r>
    </w:p>
    <w:p>
      <w:r>
        <w:br w:type="page"/>
      </w:r>
    </w:p>
    <w:p>
      <w:pPr>
        <w:pStyle w:val="Heading1"/>
        <w:pBdr>
          <w:bottom w:val="single" w:color="4472C4" w:sz="6" w:space="1"/>
        </w:pBdr>
        <w:spacing w:before="400" w:after="200"/>
      </w:pPr>
      <w:r>
        <w:rPr>
          <w:rFonts w:ascii="Arial" w:cs="Arial" w:eastAsia="Arial" w:hAnsi="Arial"/>
          <w:b/>
          <w:bCs/>
          <w:color w:val="1F3A6E"/>
          <w:sz w:val="32"/>
          <w:szCs w:val="32"/>
        </w:rPr>
        <w:t xml:space="preserve">9. Component Bill of Materials</w:t>
      </w:r>
    </w:p>
    <w:p>
      <w:pPr>
        <w:pStyle w:val="Heading2"/>
        <w:spacing w:before="300" w:after="120"/>
      </w:pPr>
      <w:r>
        <w:rPr>
          <w:rFonts w:ascii="Arial" w:cs="Arial" w:eastAsia="Arial" w:hAnsi="Arial"/>
          <w:b/>
          <w:bCs/>
          <w:color w:val="1F3A6E"/>
          <w:sz w:val="26"/>
          <w:szCs w:val="26"/>
        </w:rPr>
        <w:t xml:space="preserve">9.1 Silicon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1800"/>
        <w:gridCol w:w="2760"/>
      </w:tblGrid>
      <w:tr>
        <w:tc>
          <w:tcPr>
            <w:tcW w:type="dxa" w:w="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Vendor / Part</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7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APEX-1 CoWoS package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Custom / TSMC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4-die compute package on interposer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Custom</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HBM3e stack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SK Hynix HBM3E 48GB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96 GB, 6 TB/s aggregate BW</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$800–1,200 ea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PCIe 5.0 retimer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 DS250DF810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Signal regeneration at card edge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~$45</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Clock generator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Renesas RC32504A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100 MHz PCIe ref, spread-spectrum</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~$9</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BMC microcontroller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ST STM32H753VIT6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Thermal/power management, OOB mgmt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~$15</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SPI flash (BMC firmware)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Winbond W25Q256JVEIQ</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32 MB NOR flash for BMC firmware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w:t>
            </w:r>
          </w:p>
        </w:tc>
      </w:tr>
    </w:tbl>
    <w:p>
      <w:pPr>
        <w:spacing w:before="120" w:after="0"/>
      </w:pPr>
      <w:r>
        <w:t xml:space="preserve"/>
      </w:r>
    </w:p>
    <w:p>
      <w:pPr>
        <w:pStyle w:val="Heading2"/>
        <w:spacing w:before="300" w:after="120"/>
      </w:pPr>
      <w:r>
        <w:rPr>
          <w:rFonts w:ascii="Arial" w:cs="Arial" w:eastAsia="Arial" w:hAnsi="Arial"/>
          <w:b/>
          <w:bCs/>
          <w:color w:val="1F3A6E"/>
          <w:sz w:val="26"/>
          <w:szCs w:val="26"/>
        </w:rPr>
        <w:t xml:space="preserve">9.2 Power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000"/>
        <w:gridCol w:w="2560"/>
      </w:tblGrid>
      <w:tr>
        <w:tc>
          <w:tcPr>
            <w:tcW w:type="dxa" w:w="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Vendor / Part</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Core VRM controller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Infineon XDPE232G3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12-phase PMBus digital controller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Power stage FET (×12)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 CSD95490Q5MC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60A NexFET per phase, 0.75V</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 ea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HBM VRM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 TPS53681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1.1V / 80A dedicated regulator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~$18</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48V-to-12V buck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 LM5170EVM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Rack 48V direct power conversion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~$30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I/O buck (1.8V)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 LMZ36002TZ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2A integrated switcher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Aux buck (3.3V)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 LMZ36002TZ</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2A integrated switcher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Bulk caps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Panasonic EEHZK1E102V 1mF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PDN bulk energy storage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 ea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MLCC decoupling (×200)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Murata GRM21BR60J107ME39 100µF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High-freq PDN decoupling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~$0.10 ea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12V power connector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Molex Mini-Fit Jr 39-01-2120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Board power inlet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~$8</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48V power connector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TE Connectivity 1-2328702-0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48V direct rack inlet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~$10</w:t>
            </w:r>
          </w:p>
        </w:tc>
      </w:tr>
    </w:tbl>
    <w:p>
      <w:pPr>
        <w:spacing w:before="120" w:after="0"/>
      </w:pPr>
      <w:r>
        <w:t xml:space="preserve"/>
      </w:r>
    </w:p>
    <w:p>
      <w:pPr>
        <w:pStyle w:val="Heading2"/>
        <w:spacing w:before="300" w:after="120"/>
      </w:pPr>
      <w:r>
        <w:rPr>
          <w:rFonts w:ascii="Arial" w:cs="Arial" w:eastAsia="Arial" w:hAnsi="Arial"/>
          <w:b/>
          <w:bCs/>
          <w:color w:val="1F3A6E"/>
          <w:sz w:val="26"/>
          <w:szCs w:val="26"/>
        </w:rPr>
        <w:t xml:space="preserve">9.3 Mechanical &amp; Thermal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1800"/>
        <w:gridCol w:w="2360"/>
      </w:tblGrid>
      <w:tr>
        <w:tc>
          <w:tcPr>
            <w:tcW w:type="dxa" w:w="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Vendor / Part</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Copper microchannel cold plate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Wakefield-Vette (custom)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Liquid cooling interface for package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~$150</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18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TIM — lid to cold plate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Thermal Grizzly Conductonaut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Liquid metal TIM, 73 W/m·K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Temperature sensor (×8)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TI TMP117NAISR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±0.1°C accuracy, I2C interface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~$4 ea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20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UCIe / scale-out connector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Samtec SEARAY SEAM-40-02.0-S-08-2-A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Multi-card interconnect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404040"/>
                <w:sz w:val="20"/>
                <w:szCs w:val="20"/>
              </w:rPr>
              <w:t xml:space="preserve">~$80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PCB substrate (prototype)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TTM Technologies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24-layer, 2oz Cu, micro-via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404040"/>
                <w:sz w:val="20"/>
                <w:szCs w:val="20"/>
              </w:rPr>
              <w:t xml:space="preserve">~$2,000</w:t>
            </w:r>
          </w:p>
        </w:tc>
      </w:tr>
    </w:tbl>
    <w:p>
      <w:r>
        <w:br w:type="page"/>
      </w:r>
    </w:p>
    <w:p>
      <w:pPr>
        <w:pStyle w:val="Heading1"/>
        <w:pBdr>
          <w:bottom w:val="single" w:color="4472C4" w:sz="6" w:space="1"/>
        </w:pBdr>
        <w:spacing w:before="400" w:after="200"/>
      </w:pPr>
      <w:r>
        <w:rPr>
          <w:rFonts w:ascii="Arial" w:cs="Arial" w:eastAsia="Arial" w:hAnsi="Arial"/>
          <w:b/>
          <w:bCs/>
          <w:color w:val="1F3A6E"/>
          <w:sz w:val="32"/>
          <w:szCs w:val="32"/>
        </w:rPr>
        <w:t xml:space="preserve">10. Appendix — Design Decisions &amp; Rationale</w:t>
      </w:r>
    </w:p>
    <w:p>
      <w:pPr>
        <w:pStyle w:val="Heading2"/>
        <w:spacing w:before="300" w:after="120"/>
      </w:pPr>
      <w:r>
        <w:rPr>
          <w:rFonts w:ascii="Arial" w:cs="Arial" w:eastAsia="Arial" w:hAnsi="Arial"/>
          <w:b/>
          <w:bCs/>
          <w:color w:val="1F3A6E"/>
          <w:sz w:val="26"/>
          <w:szCs w:val="26"/>
        </w:rPr>
        <w:t xml:space="preserve">10.1 Why systolic arrays instead of GPU-style SIMD?</w:t>
      </w:r>
    </w:p>
    <w:p>
      <w:pPr>
        <w:spacing w:before="60" w:after="60"/>
        <w:jc w:val="both"/>
      </w:pPr>
      <w:r>
        <w:rPr>
          <w:rFonts w:ascii="Arial" w:cs="Arial" w:eastAsia="Arial" w:hAnsi="Arial"/>
          <w:color w:val="404040"/>
          <w:sz w:val="22"/>
          <w:szCs w:val="22"/>
        </w:rPr>
        <w:t xml:space="preserve">GPU SIMD units broadcast operands to many parallel lanes, requiring wide buses and complex interconnect. Each lane must receive its operand every cycle, creating O(N) bandwidth demand for N lanes. Systolic arrays eliminate this: each datum moves only one cell per cycle, creating O(1) bandwidth demand per cell. At the scale of millions of MAC cells, this bandwidth reduction translates directly into lower power and higher compute density.</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10.2 Why no hardware cache?</w:t>
      </w:r>
    </w:p>
    <w:p>
      <w:pPr>
        <w:spacing w:before="60" w:after="60"/>
        <w:jc w:val="both"/>
      </w:pPr>
      <w:r>
        <w:rPr>
          <w:rFonts w:ascii="Arial" w:cs="Arial" w:eastAsia="Arial" w:hAnsi="Arial"/>
          <w:color w:val="404040"/>
          <w:sz w:val="22"/>
          <w:szCs w:val="22"/>
        </w:rPr>
        <w:t xml:space="preserve">Hardware caches are designed for workloads with unpredictable access patterns. AI inference and training have perfectly predictable access patterns determined at compile time. A cache would waste silicon area on tag arrays, LRU logic, and coherence hardware — none of which benefits a workload that the compiler already manages optimally. Software-managed scratchpads achieve zero cache miss overhead by construction.</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10.3 Why HBM3e instead of GDDR7?</w:t>
      </w:r>
    </w:p>
    <w:p>
      <w:pPr>
        <w:spacing w:before="60" w:after="60"/>
        <w:jc w:val="both"/>
      </w:pPr>
      <w:r>
        <w:rPr>
          <w:rFonts w:ascii="Arial" w:cs="Arial" w:eastAsia="Arial" w:hAnsi="Arial"/>
          <w:color w:val="404040"/>
          <w:sz w:val="22"/>
          <w:szCs w:val="22"/>
        </w:rPr>
        <w:t xml:space="preserve">At 400W total package power, the memory subsystem must deliver 6 TB/s. GDDR7 provides ~1 TB/s per 32-bit channel; achieving 6 TB/s would require 6 channels at 192 bits wide total, spread across the PCB with significant signal integrity challenges. HBM3e provides 3 TB/s per stack through a 1024-bit interface on the interposer with extremely short trace lengths. For a compute-intensive chip where the package is dominated by the interposer anyway, HBM3e is the clear choice on bandwidth-per-watt and bandwidth-per-mm² metrics.</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10.4 Why static scheduling instead of runtime dispatch?</w:t>
      </w:r>
    </w:p>
    <w:p>
      <w:pPr>
        <w:spacing w:before="60" w:after="60"/>
        <w:jc w:val="both"/>
      </w:pPr>
      <w:r>
        <w:rPr>
          <w:rFonts w:ascii="Arial" w:cs="Arial" w:eastAsia="Arial" w:hAnsi="Arial"/>
          <w:color w:val="404040"/>
          <w:sz w:val="22"/>
          <w:szCs w:val="22"/>
        </w:rPr>
        <w:t xml:space="preserve">Dynamic scheduling — where hardware decides at runtime which operation executes next — exists to handle unpredictable workloads. AI inference graphs are fully determined at model load time. Every tensor shape, every operation, and every data dependency is known before the first token is processed. Static scheduling lets the compiler find optimal schedules offline (seconds of compile time) and encode them as a flat instruction stream. Runtime overhead drops to zero. Deterministic latency — critical for real-time inference SLAs — becomes a natural property of the system rather than something to measure and hope for.</w:t>
      </w:r>
    </w:p>
    <w:p>
      <w:pPr>
        <w:spacing w:before="120" w:after="0"/>
      </w:pPr>
      <w:r>
        <w:t xml:space="preserve"/>
      </w:r>
    </w:p>
    <w:p>
      <w:pPr>
        <w:pStyle w:val="Heading2"/>
        <w:spacing w:before="300" w:after="120"/>
      </w:pPr>
      <w:r>
        <w:rPr>
          <w:rFonts w:ascii="Arial" w:cs="Arial" w:eastAsia="Arial" w:hAnsi="Arial"/>
          <w:b/>
          <w:bCs/>
          <w:color w:val="1F3A6E"/>
          <w:sz w:val="26"/>
          <w:szCs w:val="26"/>
        </w:rPr>
        <w:t xml:space="preserve">10.5 Design limitations and known tradeoffs</w:t>
      </w:r>
    </w:p>
    <w:p>
      <w:pPr>
        <w:pStyle w:val="ListParagraph"/>
        <w:numPr>
          <w:ilvl w:val="0"/>
          <w:numId w:val="2"/>
        </w:numPr>
        <w:spacing w:before="40" w:after="40"/>
      </w:pPr>
      <w:r>
        <w:rPr>
          <w:rFonts w:ascii="Arial" w:cs="Arial" w:eastAsia="Arial" w:hAnsi="Arial"/>
          <w:color w:val="404040"/>
          <w:sz w:val="22"/>
          <w:szCs w:val="22"/>
        </w:rPr>
        <w:t xml:space="preserve">Attention mechanisms: The softmax operation in transformer attention has poor arithmetic intensity (memory-bandwidth-bound). APEX-1 mitigates this with the dedicated softmax unit (§4.2) and by fusing Q×K^T, softmax, and ×V into a single FlashAttention-style tiled kernel, but attention remains the primary bottleneck for long-context LLM inference.</w:t>
      </w:r>
    </w:p>
    <w:p>
      <w:pPr>
        <w:pStyle w:val="ListParagraph"/>
        <w:numPr>
          <w:ilvl w:val="0"/>
          <w:numId w:val="2"/>
        </w:numPr>
        <w:spacing w:before="40" w:after="40"/>
      </w:pPr>
      <w:r>
        <w:rPr>
          <w:rFonts w:ascii="Arial" w:cs="Arial" w:eastAsia="Arial" w:hAnsi="Arial"/>
          <w:color w:val="404040"/>
          <w:sz w:val="22"/>
          <w:szCs w:val="22"/>
        </w:rPr>
        <w:t xml:space="preserve">Dynamic shapes: The static compiler model requires all tensor shapes to be known at compile time. Models with dynamic sequence lengths (e.g., variable-length LLM outputs) require shape-specialized compilation or conservative over-allocation of scratchpad regions.</w:t>
      </w:r>
    </w:p>
    <w:p>
      <w:pPr>
        <w:pStyle w:val="ListParagraph"/>
        <w:numPr>
          <w:ilvl w:val="0"/>
          <w:numId w:val="2"/>
        </w:numPr>
        <w:spacing w:before="40" w:after="40"/>
      </w:pPr>
      <w:r>
        <w:rPr>
          <w:rFonts w:ascii="Arial" w:cs="Arial" w:eastAsia="Arial" w:hAnsi="Arial"/>
          <w:color w:val="404040"/>
          <w:sz w:val="22"/>
          <w:szCs w:val="22"/>
        </w:rPr>
        <w:t xml:space="preserve">Recurrent models: RNNs and SSMs (Mamba, RWKV) have sequential data dependencies that limit tile parallelism. APEX-1 can execute these workloads but will achieve lower utilization than on transformer or CNN models.</w:t>
      </w:r>
    </w:p>
    <w:p>
      <w:pPr>
        <w:pStyle w:val="ListParagraph"/>
        <w:numPr>
          <w:ilvl w:val="0"/>
          <w:numId w:val="2"/>
        </w:numPr>
        <w:spacing w:before="40" w:after="40"/>
      </w:pPr>
      <w:r>
        <w:rPr>
          <w:rFonts w:ascii="Arial" w:cs="Arial" w:eastAsia="Arial" w:hAnsi="Arial"/>
          <w:color w:val="404040"/>
          <w:sz w:val="22"/>
          <w:szCs w:val="22"/>
        </w:rPr>
        <w:t xml:space="preserve">No driver-level virtualization: The chip does not support concurrent multi-tenant workloads. A single compiled program occupies all hardware resources. Time-sharing requires full context save/restore at the driver level.</w:t>
      </w:r>
    </w:p>
    <w:p>
      <w:pPr>
        <w:spacing w:before="200" w:after="0"/>
      </w:pPr>
      <w:r>
        <w:t xml:space="preserve"/>
      </w:r>
    </w:p>
    <w:p>
      <w:pPr>
        <w:pBdr>
          <w:top w:val="single" w:color="4472C4" w:sz="4" w:space="4"/>
        </w:pBdr>
        <w:spacing w:before="8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spacing w:before="80"/>
      <w:jc w:val="right"/>
    </w:pPr>
    <w:r>
      <w:rPr>
        <w:rFonts w:ascii="Arial" w:cs="Arial" w:eastAsia="Arial" w:hAnsi="Arial"/>
        <w:color w:val="999999"/>
        <w:sz w:val="18"/>
        <w:szCs w:val="18"/>
      </w:rPr>
      <w:t xml:space="preserve">APEX-1 AI Matrix Processor  |  Rev 1.0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spacing w:after="0"/>
    </w:pPr>
    <w:r>
      <w:rPr>
        <w:rFonts w:ascii="Arial" w:cs="Arial" w:eastAsia="Arial" w:hAnsi="Arial"/>
        <w:color w:val="4472C4"/>
        <w:sz w:val="18"/>
        <w:szCs w:val="18"/>
      </w:rPr>
      <w:t xml:space="preserve">APEX-1 Architecture Specification</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A6E"/>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F3A6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2026-03-18T23:23:53.420Z</dcterms:created>
  <dcterms:modified xsi:type="dcterms:W3CDTF">2026-03-18T23:23:53.421Z</dcterms:modified>
</cp:coreProperties>
</file>

<file path=docProps/custom.xml><?xml version="1.0" encoding="utf-8"?>
<Properties xmlns="http://schemas.openxmlformats.org/officeDocument/2006/custom-properties" xmlns:vt="http://schemas.openxmlformats.org/officeDocument/2006/docPropsVTypes"/>
</file>