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>
          <w:lang w:val="uk-UA" w:eastAsia="zh-CN" w:bidi="hi-IN"/>
        </w:rPr>
      </w:pPr>
      <w:r>
        <w:rPr>
          <w:lang w:val="uk-UA" w:eastAsia="zh-CN" w:bidi="hi-IN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lang w:val="uk-UA" w:eastAsia="zh-CN" w:bidi="hi-IN"/>
        </w:rPr>
      </w:pPr>
      <w:bookmarkStart w:id="0" w:name="__RefHeading___Toc225_586080668"/>
      <w:bookmarkEnd w:id="0"/>
      <w:r>
        <w:rPr>
          <w:lang w:val="uk-UA" w:eastAsia="zh-CN" w:bidi="hi-IN"/>
        </w:rPr>
        <w:t>Завдання 1</w:t>
      </w:r>
    </w:p>
    <w:p>
      <w:pPr>
        <w:pStyle w:val="Normal"/>
        <w:rPr>
          <w:lang w:val="uk-UA" w:eastAsia="zh-CN" w:bidi="hi-IN"/>
        </w:rPr>
      </w:pPr>
      <w:r>
        <w:rPr>
          <w:b/>
          <w:bCs/>
          <w:lang w:val="uk-UA" w:eastAsia="zh-CN" w:bidi="hi-IN"/>
        </w:rPr>
        <w:t>Розгляньте види сумісності у системі «Людина-Машина-Середовище»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right"/>
        <w:rPr/>
      </w:pPr>
      <w:r>
        <w:rPr>
          <w:rStyle w:val="Style13"/>
          <w:b w:val="false"/>
          <w:bCs w:val="false"/>
          <w:lang w:val="uk-UA" w:eastAsia="zh-CN" w:bidi="hi-IN"/>
        </w:rPr>
        <w:t>Ефективність функціонування системи «Людина-Машина-Середовище» залежить від ефективності роботи як технічних ланок, так і людини (оператора), яка оцінюється за показниками надійності й ергономічності, а також ризику виникнення небезпечних ситуацій.</w:t>
      </w:r>
    </w:p>
    <w:p>
      <w:pPr>
        <w:pStyle w:val="Normal"/>
        <w:spacing w:before="288" w:after="0"/>
        <w:jc w:val="right"/>
        <w:rPr/>
      </w:pPr>
      <w:r>
        <w:rPr>
          <w:rStyle w:val="Style13"/>
          <w:b w:val="false"/>
          <w:bCs w:val="false"/>
          <w:sz w:val="24"/>
          <w:szCs w:val="24"/>
          <w:lang w:val="uk-UA" w:eastAsia="zh-CN" w:bidi="hi-IN"/>
        </w:rPr>
        <w:t>Цитата зі статті Н.Л. Березуцькоï та І.І.Хондака</w:t>
      </w:r>
    </w:p>
    <w:p>
      <w:pPr>
        <w:pStyle w:val="Normal"/>
        <w:spacing w:before="0" w:after="0"/>
        <w:jc w:val="right"/>
        <w:rPr>
          <w:lang w:val="uk-UA" w:eastAsia="zh-CN" w:bidi="hi-IN"/>
        </w:rPr>
      </w:pPr>
      <w:r>
        <w:rPr>
          <w:b w:val="false"/>
          <w:bCs w:val="false"/>
          <w:i/>
          <w:iCs/>
          <w:sz w:val="24"/>
          <w:szCs w:val="24"/>
          <w:lang w:val="uk-UA" w:eastAsia="zh-CN" w:bidi="hi-IN"/>
        </w:rPr>
        <w:t>“</w:t>
      </w:r>
      <w:r>
        <w:rPr>
          <w:b w:val="false"/>
          <w:bCs w:val="false"/>
          <w:i/>
          <w:iCs/>
          <w:sz w:val="24"/>
          <w:szCs w:val="24"/>
          <w:lang w:val="uk-UA" w:eastAsia="zh-CN" w:bidi="hi-IN"/>
        </w:rPr>
        <w:t>Дослідження надійності системи «Людина-Машина-Середовище»”</w:t>
      </w:r>
    </w:p>
    <w:p>
      <w:pPr>
        <w:pStyle w:val="Normal"/>
        <w:spacing w:before="0" w:after="0"/>
        <w:jc w:val="right"/>
        <w:rPr>
          <w:b w:val="false"/>
          <w:b w:val="false"/>
          <w:bCs w:val="false"/>
          <w:i/>
          <w:i/>
          <w:iCs/>
          <w:sz w:val="24"/>
          <w:szCs w:val="24"/>
          <w:lang w:val="uk-UA" w:eastAsia="zh-CN" w:bidi="hi-IN"/>
        </w:rPr>
      </w:pPr>
      <w:r>
        <w:rPr>
          <w:b w:val="false"/>
          <w:bCs w:val="false"/>
          <w:i/>
          <w:iCs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44"/>
        <w:jc w:val="left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b w:val="false"/>
          <w:bCs w:val="false"/>
          <w:i/>
          <w:iCs/>
          <w:sz w:val="24"/>
          <w:szCs w:val="24"/>
          <w:lang w:val="uk-UA" w:eastAsia="zh-CN" w:bidi="hi-IN"/>
        </w:rPr>
        <w:t>Розглядаючи людину в безперервній обмінній взаємодії з довкіллям, необхідно виділити систему "Л-М-С", в якій: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left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b w:val="false"/>
          <w:bCs w:val="false"/>
          <w:i/>
          <w:iCs/>
          <w:sz w:val="24"/>
          <w:szCs w:val="24"/>
          <w:lang w:val="uk-UA" w:eastAsia="zh-CN" w:bidi="hi-IN"/>
        </w:rPr>
        <w:t>Л — людина</w:t>
        <w:tab/>
        <w:tab/>
        <w:tab/>
        <w:tab/>
        <w:t>М — машина</w:t>
        <w:tab/>
        <w:tab/>
        <w:tab/>
        <w:t>С — Середовище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left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Зв'язки між елементами – це вплив "людини" на "середовище", вплив "середовища" на психофізіологічний стан (ПФС) "людини", вплив "середовища" на дії "людини", вплив "середовища" на роботу "машини", вплив "машини" на психофізіологічний стан "людини" тощо.</w:t>
      </w:r>
    </w:p>
    <w:p>
      <w:pPr>
        <w:pStyle w:val="Normal"/>
        <w:spacing w:lineRule="auto" w:line="360" w:before="0" w:after="0"/>
        <w:jc w:val="left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</w:r>
    </w:p>
    <w:p>
      <w:pPr>
        <w:pStyle w:val="Style21"/>
        <w:spacing w:lineRule="auto" w:line="360" w:before="0" w:after="144"/>
        <w:jc w:val="left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На надійність роботи оператора впливають суб’єктивні та об’єктивні фактори. Із суб’єктивних факторів важливий вплив мають увага людини, помилки оператора, які трапляються в результаті напруги і роботи в умовах обмеженості в часі, а також можливості  швидкого їх усунення.</w:t>
      </w:r>
    </w:p>
    <w:p>
      <w:pPr>
        <w:pStyle w:val="Style21"/>
        <w:spacing w:lineRule="auto" w:line="360" w:before="0" w:after="144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Ергономічні фактори показують сумісність людини і інших елементів в системі «ЛМС». Існує 5 видів сумісності людини з іншими елементами системи: </w:t>
      </w:r>
    </w:p>
    <w:p>
      <w:pPr>
        <w:pStyle w:val="Style21"/>
        <w:numPr>
          <w:ilvl w:val="0"/>
          <w:numId w:val="4"/>
        </w:numPr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Інформаційна;</w:t>
      </w:r>
    </w:p>
    <w:p>
      <w:pPr>
        <w:pStyle w:val="Style21"/>
        <w:numPr>
          <w:ilvl w:val="0"/>
          <w:numId w:val="4"/>
        </w:numPr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Біофізична;</w:t>
      </w:r>
    </w:p>
    <w:p>
      <w:pPr>
        <w:pStyle w:val="Style21"/>
        <w:numPr>
          <w:ilvl w:val="0"/>
          <w:numId w:val="4"/>
        </w:numPr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Енергетична;</w:t>
      </w:r>
    </w:p>
    <w:p>
      <w:pPr>
        <w:pStyle w:val="Style21"/>
        <w:numPr>
          <w:ilvl w:val="0"/>
          <w:numId w:val="4"/>
        </w:numPr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Просторово-Антропометрична;</w:t>
      </w:r>
    </w:p>
    <w:p>
      <w:pPr>
        <w:pStyle w:val="Style21"/>
        <w:numPr>
          <w:ilvl w:val="0"/>
          <w:numId w:val="4"/>
        </w:numPr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Техніко-Естетична;</w:t>
      </w:r>
    </w:p>
    <w:p>
      <w:pPr>
        <w:pStyle w:val="Style21"/>
        <w:spacing w:lineRule="auto" w:line="360" w:before="0" w:after="0"/>
        <w:jc w:val="both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Інформаційна сумісність має на увазі створення такої інформаційної взаємодії між «людиною», «машиною» і «середовищем», при якій відображаються всі потрібні стани «машини» і «середовища», безпомилково приймається і обробляється інформація немає перевантаження уваги і пам'яті. </w:t>
      </w:r>
    </w:p>
    <w:p>
      <w:pPr>
        <w:pStyle w:val="Style21"/>
        <w:spacing w:lineRule="auto" w:line="360" w:before="0" w:after="0"/>
        <w:jc w:val="both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Біофізична сумісність має на увазі створення такого «середовища», при якому забезпечується нормальний фізіологічний стан «людини» і, при необхідності, його нормальна працездатність.</w:t>
      </w:r>
    </w:p>
    <w:p>
      <w:pPr>
        <w:pStyle w:val="Style21"/>
        <w:spacing w:lineRule="auto" w:line="360" w:before="0" w:after="0"/>
        <w:jc w:val="both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Енергетична сумісність має на увазі узгодження органів управління «машини» з можливостями «людини» відносно прикладених зусиль, затрачуваної потужності, швидкості і точності рухів окремих ділянок тіла людини.</w:t>
      </w:r>
    </w:p>
    <w:p>
      <w:pPr>
        <w:pStyle w:val="Style21"/>
        <w:spacing w:lineRule="auto" w:line="360" w:before="0" w:after="0"/>
        <w:jc w:val="both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Просторово-антропометрична сумісність має на увазі обрахування розмірів тіла людини, можливості обзору, просторового положення людини в процесі його діяльності.</w:t>
      </w:r>
    </w:p>
    <w:p>
      <w:pPr>
        <w:pStyle w:val="Style21"/>
        <w:spacing w:lineRule="auto" w:line="360" w:before="0" w:after="0"/>
        <w:jc w:val="both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Техніко-естетична сумісність має на увазі забезпечення задоволення «людини» від спілкування з «машиною» в процесі праці. </w:t>
      </w:r>
    </w:p>
    <w:p>
      <w:pPr>
        <w:pStyle w:val="2"/>
        <w:numPr>
          <w:ilvl w:val="1"/>
          <w:numId w:val="3"/>
        </w:numPr>
        <w:rPr>
          <w:lang w:val="uk-UA" w:eastAsia="zh-CN" w:bidi="hi-IN"/>
        </w:rPr>
      </w:pPr>
      <w:bookmarkStart w:id="1" w:name="__RefHeading___Toc243_1131224779"/>
      <w:bookmarkEnd w:id="1"/>
      <w:r>
        <w:rPr>
          <w:lang w:val="uk-UA" w:eastAsia="zh-CN" w:bidi="hi-IN"/>
        </w:rPr>
        <w:t>Завдання 2</w:t>
      </w:r>
    </w:p>
    <w:p>
      <w:pPr>
        <w:pStyle w:val="Style21"/>
        <w:spacing w:before="0" w:after="0"/>
        <w:rPr>
          <w:lang w:val="uk-UA" w:eastAsia="zh-CN" w:bidi="hi-IN"/>
        </w:rPr>
      </w:pPr>
      <w:r>
        <w:rPr>
          <w:rFonts w:ascii="Times New Roman" w:hAnsi="Times New Roman"/>
          <w:b/>
          <w:bCs/>
          <w:lang w:val="uk-UA" w:eastAsia="zh-CN" w:bidi="hi-IN"/>
        </w:rPr>
        <w:t>Перерахуйте методи оцінки ризику. Дайте стислу характеристику наведених методів.</w:t>
      </w:r>
    </w:p>
    <w:p>
      <w:pPr>
        <w:pStyle w:val="Style21"/>
        <w:spacing w:before="0" w:after="0"/>
        <w:rPr>
          <w:rFonts w:ascii="Times New Roman" w:hAnsi="Times New Roman"/>
          <w:b/>
          <w:b/>
          <w:bCs/>
          <w:lang w:val="uk-UA" w:eastAsia="zh-CN" w:bidi="hi-IN"/>
        </w:rPr>
      </w:pPr>
      <w:r>
        <w:rPr>
          <w:rFonts w:ascii="Times New Roman" w:hAnsi="Times New Roman"/>
          <w:b/>
          <w:bCs/>
          <w:lang w:val="uk-UA" w:eastAsia="zh-CN" w:bidi="hi-IN"/>
        </w:rPr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b w:val="false"/>
          <w:bCs w:val="false"/>
          <w:sz w:val="24"/>
          <w:szCs w:val="24"/>
          <w:lang w:val="uk-UA" w:eastAsia="zh-CN" w:bidi="hi-IN"/>
        </w:rPr>
        <w:t>Оцінка рівня ризиків є одним з важливих етапів економічного аналізу, оскільки для управління ризиком його необхідно, перш за все визначити, проаналізувати і оцінити.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 w:val="false"/>
          <w:iCs w:val="false"/>
          <w:sz w:val="24"/>
          <w:szCs w:val="24"/>
          <w:lang w:val="uk-UA" w:eastAsia="zh-CN" w:bidi="hi-IN"/>
        </w:rPr>
        <w:t>Аналіз ризику</w:t>
      </w:r>
      <w:r>
        <w:rPr>
          <w:rStyle w:val="Style16"/>
          <w:i/>
          <w:sz w:val="24"/>
          <w:szCs w:val="24"/>
          <w:lang w:val="uk-UA" w:eastAsia="zh-CN" w:bidi="hi-IN"/>
        </w:rPr>
        <w:t xml:space="preserve"> </w:t>
      </w:r>
      <w:r>
        <w:rPr>
          <w:b w:val="false"/>
          <w:bCs w:val="false"/>
          <w:sz w:val="24"/>
          <w:szCs w:val="24"/>
          <w:lang w:val="uk-UA" w:eastAsia="zh-CN" w:bidi="hi-IN"/>
        </w:rPr>
        <w:t>- це застосування системи спеціальних знань з дослідження економічних явищ і процесів за умов невизначеності та конфліктності з метою отримання якісної та кількісної інформації, необхідної для прийняття управлінських рішень.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 w:val="false"/>
          <w:iCs w:val="false"/>
          <w:sz w:val="24"/>
          <w:szCs w:val="24"/>
          <w:lang w:val="uk-UA" w:eastAsia="zh-CN" w:bidi="hi-IN"/>
        </w:rPr>
        <w:t>Метою проведення аналізу ризиків</w:t>
      </w:r>
      <w:r>
        <w:rPr>
          <w:rStyle w:val="Style16"/>
          <w:i/>
          <w:sz w:val="24"/>
          <w:szCs w:val="24"/>
          <w:lang w:val="uk-UA" w:eastAsia="zh-CN" w:bidi="hi-IN"/>
        </w:rPr>
        <w:t xml:space="preserve"> </w:t>
      </w:r>
      <w:r>
        <w:rPr>
          <w:sz w:val="24"/>
          <w:szCs w:val="24"/>
          <w:lang w:val="uk-UA" w:eastAsia="zh-CN" w:bidi="hi-IN"/>
        </w:rPr>
        <w:t>є отримання необхідної інформації для прийняття управлінських рішень щодо можливості передбачення та відповідного захисту компанії від наслідків ризикових подій.</w:t>
      </w:r>
    </w:p>
    <w:p>
      <w:pPr>
        <w:pStyle w:val="Style21"/>
        <w:spacing w:lineRule="auto" w:line="360" w:before="0" w:after="0"/>
        <w:rPr/>
      </w:pPr>
      <w:r>
        <w:rPr>
          <w:sz w:val="24"/>
          <w:szCs w:val="24"/>
          <w:lang w:val="uk-UA" w:eastAsia="zh-CN" w:bidi="hi-IN"/>
        </w:rPr>
        <w:t xml:space="preserve">Зазвичай </w:t>
      </w:r>
      <w:r>
        <w:rPr>
          <w:rStyle w:val="Style16"/>
          <w:i w:val="false"/>
          <w:iCs w:val="false"/>
          <w:sz w:val="24"/>
          <w:szCs w:val="24"/>
          <w:lang w:val="uk-UA" w:eastAsia="zh-CN" w:bidi="hi-IN"/>
        </w:rPr>
        <w:t>аналіз ризику проводять у такій послідовності</w:t>
      </w:r>
      <w:r>
        <w:rPr>
          <w:rStyle w:val="Style16"/>
          <w:i/>
          <w:sz w:val="24"/>
          <w:szCs w:val="24"/>
          <w:lang w:val="uk-UA" w:eastAsia="zh-CN" w:bidi="hi-IN"/>
        </w:rPr>
        <w:t>:</w:t>
      </w:r>
    </w:p>
    <w:p>
      <w:pPr>
        <w:pStyle w:val="Style21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визначення внутрішніх та зовнішніх чинників, що збільшують чи зменшують ступінь певного виду ризику; </w:t>
      </w:r>
    </w:p>
    <w:p>
      <w:pPr>
        <w:pStyle w:val="Style21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аналіз виявлених чинників; </w:t>
      </w:r>
    </w:p>
    <w:p>
      <w:pPr>
        <w:pStyle w:val="Style21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оцінювання певного виду ризику; </w:t>
      </w:r>
    </w:p>
    <w:p>
      <w:pPr>
        <w:pStyle w:val="Style21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встановлення допустимого ступеня ризику; </w:t>
      </w:r>
    </w:p>
    <w:p>
      <w:pPr>
        <w:pStyle w:val="Style21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аналіз окремих операцій щодо обраного ступеня ризику; розробка заходів щодо зниження ступеня ризику. </w:t>
      </w:r>
    </w:p>
    <w:p>
      <w:pPr>
        <w:pStyle w:val="Style21"/>
        <w:spacing w:lineRule="auto" w:line="360" w:before="0" w:after="0"/>
        <w:rPr/>
      </w:pPr>
      <w:r>
        <w:rPr>
          <w:rStyle w:val="Style16"/>
          <w:b w:val="false"/>
          <w:bCs w:val="false"/>
          <w:i/>
          <w:sz w:val="24"/>
          <w:szCs w:val="24"/>
          <w:lang w:val="uk-UA" w:eastAsia="zh-CN" w:bidi="hi-IN"/>
        </w:rPr>
        <w:t xml:space="preserve">Для якісної оцінки ризику </w:t>
      </w:r>
      <w:r>
        <w:rPr>
          <w:b w:val="false"/>
          <w:bCs w:val="false"/>
          <w:sz w:val="24"/>
          <w:szCs w:val="24"/>
          <w:lang w:val="uk-UA" w:eastAsia="zh-CN" w:bidi="hi-IN"/>
        </w:rPr>
        <w:t xml:space="preserve">на практиці найчастіше використовується </w:t>
      </w:r>
      <w:r>
        <w:rPr>
          <w:rStyle w:val="Style16"/>
          <w:b w:val="false"/>
          <w:bCs w:val="false"/>
          <w:i/>
          <w:sz w:val="24"/>
          <w:szCs w:val="24"/>
          <w:lang w:val="uk-UA" w:eastAsia="zh-CN" w:bidi="hi-IN"/>
        </w:rPr>
        <w:t>експертні методи</w:t>
      </w:r>
      <w:r>
        <w:rPr>
          <w:rStyle w:val="Style16"/>
          <w:i/>
          <w:sz w:val="24"/>
          <w:szCs w:val="24"/>
          <w:lang w:val="uk-UA" w:eastAsia="zh-CN" w:bidi="hi-IN"/>
        </w:rPr>
        <w:t xml:space="preserve">, </w:t>
      </w:r>
      <w:r>
        <w:rPr>
          <w:b w:val="false"/>
          <w:bCs w:val="false"/>
          <w:sz w:val="24"/>
          <w:szCs w:val="24"/>
          <w:lang w:val="uk-UA" w:eastAsia="zh-CN" w:bidi="hi-IN"/>
        </w:rPr>
        <w:t xml:space="preserve">засновані на суб'єктивній оцінці очікуваних параметрів діяльності. Найпоширенішим методом, який використовується у процесі якісного аналізу, є </w:t>
      </w:r>
      <w:r>
        <w:rPr>
          <w:rStyle w:val="Style16"/>
          <w:b w:val="false"/>
          <w:bCs w:val="false"/>
          <w:i/>
          <w:sz w:val="24"/>
          <w:szCs w:val="24"/>
          <w:lang w:val="uk-UA" w:eastAsia="zh-CN" w:bidi="hi-IN"/>
        </w:rPr>
        <w:t>метод експертних оцінок</w:t>
      </w:r>
      <w:r>
        <w:rPr>
          <w:rStyle w:val="Style16"/>
          <w:i/>
          <w:sz w:val="24"/>
          <w:szCs w:val="24"/>
          <w:lang w:val="uk-UA" w:eastAsia="zh-CN" w:bidi="hi-IN"/>
        </w:rPr>
        <w:t xml:space="preserve">, </w:t>
      </w:r>
      <w:r>
        <w:rPr>
          <w:b w:val="false"/>
          <w:bCs w:val="false"/>
          <w:sz w:val="24"/>
          <w:szCs w:val="24"/>
          <w:lang w:val="uk-UA" w:eastAsia="zh-CN" w:bidi="hi-IN"/>
        </w:rPr>
        <w:t>сутність якого полягає в отриманні необхідної інформації щодо ризиків, які можуть загрожувати діяльності організації, на основі обробки думок досвідчених фахівців та експертів.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sz w:val="24"/>
          <w:szCs w:val="24"/>
          <w:lang w:val="uk-UA" w:eastAsia="zh-CN" w:bidi="hi-IN"/>
        </w:rPr>
        <w:t xml:space="preserve">Рівень ризику </w:t>
      </w:r>
      <w:r>
        <w:rPr>
          <w:b w:val="false"/>
          <w:bCs w:val="false"/>
          <w:sz w:val="24"/>
          <w:szCs w:val="24"/>
          <w:lang w:val="uk-UA" w:eastAsia="zh-CN" w:bidi="hi-IN"/>
        </w:rPr>
        <w:t>- це оцінка співвідношення масштабу очікуваних втрат до величини майна підприємства, а також ймовірності настання цих втрат.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 w:val="false"/>
          <w:iCs w:val="false"/>
          <w:sz w:val="24"/>
          <w:szCs w:val="24"/>
          <w:lang w:val="uk-UA" w:eastAsia="zh-CN" w:bidi="hi-IN"/>
        </w:rPr>
        <w:t xml:space="preserve">Кількісні методи </w:t>
      </w:r>
      <w:r>
        <w:rPr>
          <w:b w:val="false"/>
          <w:bCs w:val="false"/>
          <w:sz w:val="24"/>
          <w:szCs w:val="24"/>
          <w:lang w:val="uk-UA" w:eastAsia="zh-CN" w:bidi="hi-IN"/>
        </w:rPr>
        <w:t>передбачають оцінку ризику в абсолютному і відносному виражені. В абсолютному виражені ризик вимірюють частотою чи розмірами можливих збитків у грошовому еквіваленті.</w:t>
      </w:r>
    </w:p>
    <w:p>
      <w:pPr>
        <w:pStyle w:val="Style21"/>
        <w:spacing w:lineRule="auto" w:line="36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У відносному вираженні ризик вимірюють різними безрозмірними показниками, що є відношенням двох чи більше показників.</w:t>
      </w:r>
    </w:p>
    <w:p>
      <w:pPr>
        <w:pStyle w:val="Style21"/>
        <w:spacing w:lineRule="auto" w:line="360"/>
        <w:rPr/>
      </w:pPr>
      <w:r>
        <w:rPr>
          <w:sz w:val="24"/>
          <w:szCs w:val="24"/>
          <w:lang w:val="uk-UA" w:eastAsia="zh-CN" w:bidi="hi-IN"/>
        </w:rPr>
        <w:t xml:space="preserve">При виконанні </w:t>
      </w:r>
      <w:r>
        <w:rPr>
          <w:rStyle w:val="Style16"/>
          <w:i/>
          <w:sz w:val="24"/>
          <w:szCs w:val="24"/>
          <w:lang w:val="uk-UA" w:eastAsia="zh-CN" w:bidi="hi-IN"/>
        </w:rPr>
        <w:t xml:space="preserve">кількісного аналізу </w:t>
      </w:r>
      <w:r>
        <w:rPr>
          <w:sz w:val="24"/>
          <w:szCs w:val="24"/>
          <w:lang w:val="uk-UA" w:eastAsia="zh-CN" w:bidi="hi-IN"/>
        </w:rPr>
        <w:t xml:space="preserve">ризику найбільш розповсюдженими і універсальними є такі </w:t>
      </w:r>
      <w:r>
        <w:rPr>
          <w:rStyle w:val="Style16"/>
          <w:i/>
          <w:sz w:val="24"/>
          <w:szCs w:val="24"/>
          <w:lang w:val="uk-UA" w:eastAsia="zh-CN" w:bidi="hi-IN"/>
        </w:rPr>
        <w:t>методи:</w:t>
      </w:r>
    </w:p>
    <w:p>
      <w:pPr>
        <w:pStyle w:val="Style21"/>
        <w:numPr>
          <w:ilvl w:val="0"/>
          <w:numId w:val="6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статистичний метод; </w:t>
      </w:r>
    </w:p>
    <w:p>
      <w:pPr>
        <w:pStyle w:val="Style21"/>
        <w:numPr>
          <w:ilvl w:val="0"/>
          <w:numId w:val="6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метод експертних оцінок; </w:t>
      </w:r>
    </w:p>
    <w:p>
      <w:pPr>
        <w:pStyle w:val="Style21"/>
        <w:numPr>
          <w:ilvl w:val="0"/>
          <w:numId w:val="6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рейтинговий метод; </w:t>
      </w:r>
    </w:p>
    <w:p>
      <w:pPr>
        <w:pStyle w:val="Style21"/>
        <w:numPr>
          <w:ilvl w:val="0"/>
          <w:numId w:val="6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метод аналогій; </w:t>
      </w:r>
    </w:p>
    <w:p>
      <w:pPr>
        <w:pStyle w:val="Style21"/>
        <w:numPr>
          <w:ilvl w:val="0"/>
          <w:numId w:val="6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метод дерева рішень; </w:t>
      </w:r>
    </w:p>
    <w:p>
      <w:pPr>
        <w:pStyle w:val="Style21"/>
        <w:numPr>
          <w:ilvl w:val="0"/>
          <w:numId w:val="6"/>
        </w:numPr>
        <w:tabs>
          <w:tab w:val="left" w:pos="0" w:leader="none"/>
        </w:tabs>
        <w:spacing w:lineRule="auto" w:line="36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аналітичний метод. 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Для практичного застосування рекомендують використовувати кілька видів оцінки ризикованої ситуації з вибором найбільш прийнятного варіанту.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Розглянемо більш детально наведені методи.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Статистичний метод </w:t>
      </w:r>
      <w:r>
        <w:rPr>
          <w:sz w:val="24"/>
          <w:szCs w:val="24"/>
          <w:lang w:val="uk-UA" w:eastAsia="zh-CN" w:bidi="hi-IN"/>
        </w:rPr>
        <w:t>ґрунтується на вивченні статистики втрат і прибутків, що мали місце на даному, чи аналогічному підприємстві, з метою визначення імовірності події, встановлення величини ризику. Під імовірністю розуміється можливість отримання певного результату.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Основним завданням статистичних методів оцінки ризиків є визначення імовірності настання окремої несприятливої події на основі статистичного дослідження наявних даних про діяльність конкретного ризикового об'єкта (організації) у минулому. У найбільш простому випадку кількісні ризики діяльності оцінюються із використанням показників дисперсії, середньоквадратичного відхилення, коефіцієнта варіації.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Метод експертних оцінок. </w:t>
      </w:r>
      <w:r>
        <w:rPr>
          <w:sz w:val="24"/>
          <w:szCs w:val="24"/>
          <w:lang w:val="uk-UA" w:eastAsia="zh-CN" w:bidi="hi-IN"/>
        </w:rPr>
        <w:t>Цей метод передбачає аналіз експертами двох груп факторів - кількісних і якісних. Експертні оцінки - це логічний виклад і висновки спеціалістів щодо того чи іншого економічного явища чи процесу. На відміну від статистичного, цей метод може використовуватись в умовах дефіциту і навіть повної відсутності інформації. У цьому його найсуттєвіша перевага порівняно з іншими методами.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Для забезпечення умов, сприятливих для формування експертами об'єктивних думок, бажано дотримуватись таких принципів:</w:t>
      </w:r>
    </w:p>
    <w:p>
      <w:pPr>
        <w:pStyle w:val="Style21"/>
        <w:numPr>
          <w:ilvl w:val="0"/>
          <w:numId w:val="8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незалежність формування експертами власних суджень про об'єкт дослідження; </w:t>
      </w:r>
    </w:p>
    <w:p>
      <w:pPr>
        <w:pStyle w:val="Style21"/>
        <w:numPr>
          <w:ilvl w:val="0"/>
          <w:numId w:val="8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зручність роботи з анкетою (питання повинні бути сформульовані у загальноприйнятих термінах, виключати будь-яку смислову неоднозначність тощо); </w:t>
      </w:r>
    </w:p>
    <w:p>
      <w:pPr>
        <w:pStyle w:val="Style21"/>
        <w:numPr>
          <w:ilvl w:val="0"/>
          <w:numId w:val="8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логічна відповідність питань структурі об'єкта дослідження; </w:t>
      </w:r>
    </w:p>
    <w:p>
      <w:pPr>
        <w:pStyle w:val="Style21"/>
        <w:numPr>
          <w:ilvl w:val="0"/>
          <w:numId w:val="8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прийнятні витрати часу на відповіді анкети, зручний час для оцінювання; </w:t>
      </w:r>
    </w:p>
    <w:p>
      <w:pPr>
        <w:pStyle w:val="Style21"/>
        <w:numPr>
          <w:ilvl w:val="0"/>
          <w:numId w:val="8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збереження анонімності відповідей; </w:t>
      </w:r>
    </w:p>
    <w:p>
      <w:pPr>
        <w:pStyle w:val="Style21"/>
        <w:numPr>
          <w:ilvl w:val="0"/>
          <w:numId w:val="8"/>
        </w:numPr>
        <w:tabs>
          <w:tab w:val="left" w:pos="0" w:leader="none"/>
        </w:tabs>
        <w:spacing w:lineRule="auto" w:line="36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надання експертам усієї необхідної інформації. 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Рейтинговий метод. </w:t>
      </w:r>
      <w:r>
        <w:rPr>
          <w:sz w:val="24"/>
          <w:szCs w:val="24"/>
          <w:lang w:val="uk-UA" w:eastAsia="zh-CN" w:bidi="hi-IN"/>
        </w:rPr>
        <w:t>Метод рейтингової оцінки спрямований на урахування індивідуальності конкретної ситуації, де вибір рішення пов'язаний з ризиком.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Метод рейтингової оцінки передбачає наявність таких елементів:</w:t>
      </w:r>
    </w:p>
    <w:p>
      <w:pPr>
        <w:pStyle w:val="Style21"/>
        <w:numPr>
          <w:ilvl w:val="0"/>
          <w:numId w:val="9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системи оціночних коефіцієнтів і, якщо необхідно, шкали ваг цих коефіцієнтів; </w:t>
      </w:r>
    </w:p>
    <w:p>
      <w:pPr>
        <w:pStyle w:val="Style21"/>
        <w:numPr>
          <w:ilvl w:val="0"/>
          <w:numId w:val="9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шкали оцінки значень одержаних показників; </w:t>
      </w:r>
    </w:p>
    <w:p>
      <w:pPr>
        <w:pStyle w:val="Style21"/>
        <w:numPr>
          <w:ilvl w:val="0"/>
          <w:numId w:val="9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методики розрахунку остаточного рейтингу. 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У процесі розробки системи рейтингової оцінки постає проблема вибору еталону для порівняння (порівняння з умовним еталонним підприємством цілком можливе, але вибір такого еталона вимагає уточнення для кожного виду ризику). Необов'язково вибирати з-поміж великої кількості підприємств найкраще, зручніше просто вибрати серед переліку показників підприємств найкращі та сформувати з них еталон для порівняння.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Метод аналогій. </w:t>
      </w:r>
      <w:r>
        <w:rPr>
          <w:sz w:val="24"/>
          <w:szCs w:val="24"/>
          <w:lang w:val="uk-UA" w:eastAsia="zh-CN" w:bidi="hi-IN"/>
        </w:rPr>
        <w:t>Сутність методу аналогій полягає в аналізі усіх наявних даних про об'єкти, що мають високий ступінь подібності з оцінюваним. Це робиться з метою розрахунку ймовірностей виникнення втрат. Метод використовує базу даних аналогічних об'єктів для виявлення загальних залежностей і перенесення їх на досліджуваний об'єкт.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Найбільше застосування метод аналогій знаходить при оцінці ризику часто повторюваних проектів, наприклад у будівництві, страховому бізнесі тощо.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Цей метод використовують у тому випадку, коли всі інші методи оцінки ризику неприйнятні. Джерела інформації можуть бути найрізноманітніші: статистична і бухгалтерська звітність, опубліковані звіти підприємств-партнерів і конкурентів, інформація державних органів тощо.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Доцільність використання методу аналогій полягає у тому, що його можна застосовувати у разі виявлення ступеня ризику нових напрямів підприємницької діяльності, коли відсутня статистична інформація.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До недоліків методу варто віднести неврахування фактору часу при оцінці ризику та необхідність лише повної і достовірної інформації. У випадку використання методу аналогій завжди необхідно робити поправку одержаних результатів оцінки ризику на ступінь подібності явищ або процесів.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Метод "дерева рішень". </w:t>
      </w:r>
      <w:r>
        <w:rPr>
          <w:sz w:val="24"/>
          <w:szCs w:val="24"/>
          <w:lang w:val="uk-UA" w:eastAsia="zh-CN" w:bidi="hi-IN"/>
        </w:rPr>
        <w:t>"Дерево рішень" - це схематичне представлення проблеми прийняття управлінського рішення, що має вигляд графа, вершини якого представляють визначені стани, у яких виникає необхідність вибору, а гілки дерева представляють різні події (рішення, наслідки, операції), які можуть мати місце у кожному окремому стані. Кожній гілці "дерева" присвоюються індивідуальні числові характеристики. У якості гілок розглядаються, наприклад, величина платежу (фінансового потоку) і ймовірність його здійснення, що характеризує рівень його ризику.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"Дерево рішень" дає можливість керівнику оцінювати різні напрями діяльності, співвіднести з ними фінансові результати, скоригувати відповідно до їхньої ймовірності, а потім порівняти альтернативи. У процесі підготовки рішення розглядаються різні його варіанти, що можуть бути прийняті, а також для кожного варіанту - ситуації, які можуть настати. Практично в усіх випадках прийняття рішень керівник оцінює ймовірність або можливість події. Ймовірність варіює від 1, якщо подія буде мати місце, до 0, якщо вона напевно не відбудеться.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Цей метод доцільно використовувати у таких випадках:</w:t>
      </w:r>
    </w:p>
    <w:p>
      <w:pPr>
        <w:pStyle w:val="Style21"/>
        <w:numPr>
          <w:ilvl w:val="0"/>
          <w:numId w:val="10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у наявності є обмежене число альтернатив або варіантів стратегій для вибору з визначеними ймовірностями їх настання; </w:t>
      </w:r>
    </w:p>
    <w:p>
      <w:pPr>
        <w:pStyle w:val="Style21"/>
        <w:numPr>
          <w:ilvl w:val="0"/>
          <w:numId w:val="10"/>
        </w:numPr>
        <w:tabs>
          <w:tab w:val="left" w:pos="0" w:leader="none"/>
        </w:tabs>
        <w:spacing w:lineRule="auto" w:line="36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результати прийнятого рішення залежать від того, яка вибрана альтернатива і які події у дійсності мають місце. </w:t>
      </w:r>
    </w:p>
    <w:p>
      <w:pPr>
        <w:pStyle w:val="Style21"/>
        <w:spacing w:lineRule="auto" w:line="360" w:before="0" w:after="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Аналітичний метод. </w:t>
      </w:r>
      <w:r>
        <w:rPr>
          <w:sz w:val="24"/>
          <w:szCs w:val="24"/>
          <w:lang w:val="uk-UA" w:eastAsia="zh-CN" w:bidi="hi-IN"/>
        </w:rPr>
        <w:t>Аналітичний метод оцінки ризику є певною комбінацією статистичного оцінювання і принципів експертного аналізу. Зазвичай, він проводиться у декілька етапів.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На першому етапі здійснюється підготовка до аналітичної обробки інформації, що містить у собі:</w:t>
      </w:r>
    </w:p>
    <w:p>
      <w:pPr>
        <w:pStyle w:val="Style21"/>
        <w:numPr>
          <w:ilvl w:val="0"/>
          <w:numId w:val="11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визначення ключового параметра, відносно якого проводять оцінку конкретного напрямку підприємницької діяльності (наприклад, обсяг продажів, обсяг прибутку, рентабельність тощо); </w:t>
      </w:r>
    </w:p>
    <w:p>
      <w:pPr>
        <w:pStyle w:val="Style21"/>
        <w:numPr>
          <w:ilvl w:val="0"/>
          <w:numId w:val="11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добір факторів, що впливають на діяльність організації, а отже, і на ключовий параметр (наприклад, рівень інфляції, політична стабільність, ступінь виконання договорів і т. ін.);</w:t>
      </w:r>
    </w:p>
    <w:p>
      <w:pPr>
        <w:pStyle w:val="Style21"/>
        <w:numPr>
          <w:ilvl w:val="0"/>
          <w:numId w:val="11"/>
        </w:numPr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розрахунок значень ключового параметра на всіх етапах виробничого процесу (розробка, впровадження у виробництво, виробництво, ліквідація даного напрямку діяльності). 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Сформовані у такий спосіб послідовності витрат і надходжень дають можливість визначити не тільки загальну економічну ефективність досліджуваного напрямку діяльності, але й виявити її значення на кожній зі стадій.</w:t>
      </w:r>
    </w:p>
    <w:p>
      <w:pPr>
        <w:pStyle w:val="Style21"/>
        <w:spacing w:lineRule="auto" w:line="36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Аналіз чутливості </w:t>
      </w:r>
      <w:r>
        <w:rPr>
          <w:sz w:val="24"/>
          <w:szCs w:val="24"/>
          <w:lang w:val="uk-UA" w:eastAsia="zh-CN" w:bidi="hi-IN"/>
        </w:rPr>
        <w:t>зводиться до дослідження залежності деякого результатного показника від варіації значень показників, що беруть участь у його визначенні. Використання даного методу дає відповіді на наступні запитання:</w:t>
      </w:r>
    </w:p>
    <w:p>
      <w:pPr>
        <w:pStyle w:val="Style21"/>
        <w:numPr>
          <w:ilvl w:val="0"/>
          <w:numId w:val="1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- наскільки може відхилитися значення однієї або кількох вхідних величин від заданих значень за умови, що результатний показник не вийде за припустимі межі? </w:t>
      </w:r>
    </w:p>
    <w:p>
      <w:pPr>
        <w:pStyle w:val="Style21"/>
        <w:numPr>
          <w:ilvl w:val="0"/>
          <w:numId w:val="12"/>
        </w:numPr>
        <w:tabs>
          <w:tab w:val="left" w:pos="0" w:leader="none"/>
        </w:tabs>
        <w:spacing w:lineRule="auto" w:line="360"/>
        <w:ind w:left="707" w:hanging="283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- наскільки зміниться значення результативного показника при заданому відхиленні однієї або кількох вхідних величин від їх, заздалегідь встановлених значень? </w:t>
      </w:r>
    </w:p>
    <w:p>
      <w:pPr>
        <w:pStyle w:val="Style21"/>
        <w:spacing w:lineRule="auto" w:line="36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Метод коригування норми дисконту </w:t>
      </w:r>
      <w:r>
        <w:rPr>
          <w:sz w:val="24"/>
          <w:szCs w:val="24"/>
          <w:lang w:val="uk-UA" w:eastAsia="zh-CN" w:bidi="hi-IN"/>
        </w:rPr>
        <w:t>з урахуванням ризику є найбільш простим і внаслідок цього найбільш вживаним на практиці. Основна його ідея полягає у коригуванні деякої базової норми дисконту, яка вважається безризиковою або мінімально прийнятною. Коригування здійснюється шляхом збільшення величини винагороди за ризик.</w:t>
      </w:r>
    </w:p>
    <w:p>
      <w:pPr>
        <w:pStyle w:val="Style21"/>
        <w:spacing w:lineRule="auto" w:line="360"/>
        <w:rPr/>
      </w:pPr>
      <w:r>
        <w:rPr>
          <w:sz w:val="24"/>
          <w:szCs w:val="24"/>
          <w:lang w:val="uk-UA" w:eastAsia="zh-CN" w:bidi="hi-IN"/>
        </w:rPr>
        <w:t xml:space="preserve">За допомогою </w:t>
      </w:r>
      <w:r>
        <w:rPr>
          <w:rStyle w:val="Style16"/>
          <w:i/>
          <w:sz w:val="24"/>
          <w:szCs w:val="24"/>
          <w:lang w:val="uk-UA" w:eastAsia="zh-CN" w:bidi="hi-IN"/>
        </w:rPr>
        <w:t xml:space="preserve">методу достовірних еквівалентів </w:t>
      </w:r>
      <w:r>
        <w:rPr>
          <w:sz w:val="24"/>
          <w:szCs w:val="24"/>
          <w:lang w:val="uk-UA" w:eastAsia="zh-CN" w:bidi="hi-IN"/>
        </w:rPr>
        <w:t>здійснюється коригування очікуваних значень потоку платежів шляхом введення спеціальних понижуючих коефіцієнтів з метою приведення очікуваних надходжень до величини платежів, отримання яких практично не викликає сумнівів, і значення яких може бути достовірно визначено.</w:t>
      </w:r>
    </w:p>
    <w:p>
      <w:pPr>
        <w:pStyle w:val="Style21"/>
        <w:spacing w:lineRule="auto" w:line="360"/>
        <w:rPr/>
      </w:pPr>
      <w:r>
        <w:rPr>
          <w:rStyle w:val="Style16"/>
          <w:i/>
          <w:sz w:val="24"/>
          <w:szCs w:val="24"/>
          <w:lang w:val="uk-UA" w:eastAsia="zh-CN" w:bidi="hi-IN"/>
        </w:rPr>
        <w:t xml:space="preserve">Метод сценаріїв </w:t>
      </w:r>
      <w:r>
        <w:rPr>
          <w:sz w:val="24"/>
          <w:szCs w:val="24"/>
          <w:lang w:val="uk-UA" w:eastAsia="zh-CN" w:bidi="hi-IN"/>
        </w:rPr>
        <w:t>дозволяє поєднати дослідження чутливості результативного показника з аналізом імовірнісних оцінок його відхилень. За допомогою цього методу можна отримати досить наочну картину для різних варіантів подій. Він є логічним розвитком методу аналізу чутливості, оскільки враховує одночасну зміну декількох чинників.</w:t>
      </w:r>
    </w:p>
    <w:p>
      <w:pPr>
        <w:pStyle w:val="Style21"/>
        <w:spacing w:lineRule="auto" w:line="360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Оскільки кожний із розглянутих методів не позбавлений недоліків, то у практичній діяльності необхідно використовувати кілька різних методів. Звичайно, отримані різними методами результати будуть відрізнятися, але аналіз розходжень між ними дозволить виявити фактори, які враховуються в одних методах і не враховуються в інших, що впливає на точність оцінки і достовірність отриманих результатів. Аналіз розходжень результатів, у зіставленні з прийнятими у розрахунок факторами ризику дозволить виявити існуючі тенденції розвитку майбутніх подій з погляду ризику тих, або інших видів діяльності, а це дасть можливість більш точно прогнозувати ступінь ризику досягнення запланованих результатів.</w:t>
      </w:r>
    </w:p>
    <w:p>
      <w:pPr>
        <w:pStyle w:val="2"/>
        <w:numPr>
          <w:ilvl w:val="1"/>
          <w:numId w:val="3"/>
        </w:numPr>
        <w:rPr>
          <w:lang w:val="uk-UA" w:eastAsia="zh-CN" w:bidi="hi-IN"/>
        </w:rPr>
      </w:pPr>
      <w:bookmarkStart w:id="2" w:name="__RefHeading___Toc245_1131224779"/>
      <w:bookmarkEnd w:id="2"/>
      <w:r>
        <w:rPr>
          <w:lang w:val="uk-UA" w:eastAsia="zh-CN" w:bidi="hi-IN"/>
        </w:rPr>
        <w:t>Завдання 3</w:t>
      </w:r>
    </w:p>
    <w:p>
      <w:pPr>
        <w:pStyle w:val="Style21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b/>
          <w:bCs/>
          <w:lang w:val="uk-UA" w:eastAsia="zh-CN" w:bidi="hi-IN"/>
        </w:rPr>
        <w:t>Розгляньте особливість небезпек, пов'язаних з конфліктними ситуаціями на етнічній та релігійних основах.</w:t>
      </w:r>
    </w:p>
    <w:p>
      <w:pPr>
        <w:pStyle w:val="Style25"/>
        <w:spacing w:before="0" w:after="0"/>
        <w:rPr>
          <w:rFonts w:ascii="Liberation Serif" w:hAnsi="Liberation Serif"/>
          <w:sz w:val="24"/>
          <w:szCs w:val="24"/>
          <w:lang w:val="uk-UA"/>
        </w:rPr>
      </w:pPr>
      <w:bookmarkStart w:id="3" w:name="tw-target-text"/>
      <w:bookmarkEnd w:id="3"/>
      <w:r>
        <w:rPr>
          <w:rFonts w:ascii="Liberation Serif" w:hAnsi="Liberation Serif"/>
          <w:sz w:val="24"/>
          <w:szCs w:val="24"/>
          <w:lang w:val="uk-UA" w:eastAsia="zh-CN" w:bidi="hi-IN"/>
        </w:rPr>
        <w:t>Кожна людина має право висловлювати власну позицію. Кількість релігій зараз перевалює за 200 (включаючи подрелігі</w:t>
      </w:r>
      <w:r>
        <w:rPr>
          <w:rStyle w:val="Style16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uk-UA" w:eastAsia="zh-CN" w:bidi="hi-IN"/>
        </w:rPr>
        <w:t>ї</w:t>
      </w:r>
      <w:r>
        <w:rPr>
          <w:rFonts w:ascii="Liberation Serif" w:hAnsi="Liberation Serif"/>
          <w:sz w:val="24"/>
          <w:szCs w:val="24"/>
          <w:lang w:val="uk-UA" w:eastAsia="zh-CN" w:bidi="hi-IN"/>
        </w:rPr>
        <w:t>). Причин для конфліктних ситуацій в XXI столітті утворених на розбіжності релігійних і етнічних верств населення більш ніж достатньо. Такі ситуації можуть вплинути як на психічний стан, так і на фізичний стан (в крайньому випадку результати можуть бути навіть летальні)</w:t>
      </w:r>
    </w:p>
    <w:p>
      <w:pPr>
        <w:pStyle w:val="Style21"/>
        <w:spacing w:lineRule="auto" w:line="360" w:before="0" w:after="0"/>
        <w:rPr>
          <w:rFonts w:ascii="Liberation Serif" w:hAnsi="Liberation Serif"/>
          <w:b w:val="false"/>
          <w:b w:val="false"/>
          <w:bCs w:val="false"/>
          <w:sz w:val="24"/>
          <w:szCs w:val="24"/>
          <w:lang w:val="uk-UA" w:eastAsia="zh-CN" w:bidi="hi-IN"/>
        </w:rPr>
      </w:pPr>
      <w:r>
        <w:rPr>
          <w:b w:val="false"/>
          <w:bCs w:val="false"/>
          <w:sz w:val="24"/>
          <w:szCs w:val="24"/>
          <w:lang w:val="uk-UA" w:eastAsia="zh-CN" w:bidi="hi-IN"/>
        </w:rPr>
        <w:t>На регіональному рівні існує сукупність внутрішніх чинників, які сприяють розвитку релігійних конфліктів. Такими чинниками є соціальна та економічна нерівність представників різних конфесій. До складу внутрішніх передумов виникнення конфліктів належить положення релігійних груп у політичній системі та органах державної влади, а також культивована владою нерівність щодо представників окремих конфесій, їх дискримінація у системі державного управління або визнання їх пріоритету в ній.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Релігійні війни та хрестові походи залишилися в минулому, але релігійні конфлікти не припиняються. Зіткнення на релігійному підґрунті тривають і досі, в тому числі між сучасними цивілізованими країнами. І вони змушують замислитися над живучістю цього явища.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Небезпека виникає тоді, коли зачіпається емоційна складова людини. Кожна людина переносить образи в свою сторону по різному. В однієї етнічної групи або релігії на вас просто можуть не звернути увагу, в іншій може бути покарання аж до смертної кари.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Релігія і етніка завжди тягнуть масовість, так що не виключено що якщо зачеплений один прихильник конфлікту, то до нього приєднаються однодумці. Головна проблема в таких конфліктах - масовість, розбіжності нерідко раніше приводили до воєн, де пріверженнікі однієї ідеї були готові померти, аби не дати прихильникам іншого боку право висловити невірну на їхню думку позицію</w:t>
      </w:r>
    </w:p>
    <w:p>
      <w:pPr>
        <w:pStyle w:val="Style21"/>
        <w:spacing w:lineRule="auto" w:line="360" w:before="0" w:after="0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</w:r>
    </w:p>
    <w:p>
      <w:pPr>
        <w:pStyle w:val="2"/>
        <w:numPr>
          <w:ilvl w:val="1"/>
          <w:numId w:val="2"/>
        </w:numPr>
        <w:rPr>
          <w:lang w:val="uk-UA" w:eastAsia="zh-CN" w:bidi="hi-IN"/>
        </w:rPr>
      </w:pPr>
      <w:bookmarkStart w:id="4" w:name="__RefHeading___Toc247_1131224779"/>
      <w:bookmarkEnd w:id="4"/>
      <w:r>
        <w:rPr>
          <w:lang w:val="uk-UA" w:eastAsia="zh-CN" w:bidi="hi-IN"/>
        </w:rPr>
        <w:t>Завдання 4</w:t>
      </w:r>
    </w:p>
    <w:p>
      <w:pPr>
        <w:pStyle w:val="Style21"/>
        <w:spacing w:lineRule="auto" w:line="360" w:before="0" w:after="0"/>
        <w:rPr>
          <w:rFonts w:ascii="Times New Roman" w:hAnsi="Times New Roman"/>
          <w:b/>
          <w:b/>
          <w:bCs/>
          <w:lang w:val="uk-UA" w:eastAsia="zh-CN" w:bidi="hi-IN"/>
        </w:rPr>
      </w:pPr>
      <w:r>
        <w:rPr>
          <w:rFonts w:ascii="Times New Roman" w:hAnsi="Times New Roman"/>
          <w:b/>
          <w:bCs/>
          <w:lang w:val="uk-UA" w:eastAsia="zh-CN" w:bidi="hi-IN"/>
        </w:rPr>
        <w:t>Надайте характеристику впливу природного та штучного освітлення на людину. Наведіть приклади.</w:t>
      </w:r>
    </w:p>
    <w:p>
      <w:pPr>
        <w:pStyle w:val="Style21"/>
        <w:spacing w:lineRule="auto" w:line="360" w:before="0" w:after="0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За призначенням штучне освітлення буває робоче, аварійне (при відключенні робочого освітлення), евакуаційне, охоронне (в нічний час). Для проектування приміщень використовується алгоритм, для того щоб людина могла сидіти і при природному, і при штучному світлі. Природний світ є не таким шкідливим для людського зору (при непрямому контакті променя світла і людського ока), він підвищує продуктивність, в ньому є вітамін групи D. Природне світло має більш теплу кольорову гамму, на відміну від штучного.</w:t>
      </w:r>
    </w:p>
    <w:p>
      <w:pPr>
        <w:pStyle w:val="Style21"/>
        <w:spacing w:lineRule="auto" w:line="360" w:before="0" w:after="0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О</w:t>
      </w:r>
      <w:r>
        <w:rPr>
          <w:sz w:val="24"/>
          <w:szCs w:val="24"/>
          <w:lang w:val="uk-UA" w:eastAsia="zh-CN" w:bidi="hi-IN"/>
        </w:rPr>
        <w:t xml:space="preserve">світлення повинно забезпечувати необхідний за технологічними і гігієнічними нормативами рівень загальної та локальної (місцевої) освітленості в побутових, робочих та інших умовах, тобто бути достатнім; </w:t>
      </w:r>
    </w:p>
    <w:p>
      <w:pPr>
        <w:pStyle w:val="Style21"/>
        <w:numPr>
          <w:ilvl w:val="0"/>
          <w:numId w:val="13"/>
        </w:numPr>
        <w:tabs>
          <w:tab w:val="left" w:pos="0" w:leader="none"/>
        </w:tabs>
        <w:spacing w:lineRule="auto" w:line="360" w:before="0" w:after="0"/>
        <w:ind w:left="720" w:hanging="283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максимально наближатися до спектру природного освітлення; </w:t>
      </w:r>
    </w:p>
    <w:p>
      <w:pPr>
        <w:pStyle w:val="Style21"/>
        <w:numPr>
          <w:ilvl w:val="0"/>
          <w:numId w:val="14"/>
        </w:numPr>
        <w:tabs>
          <w:tab w:val="left" w:pos="0" w:leader="none"/>
        </w:tabs>
        <w:spacing w:lineRule="auto" w:line="360" w:before="0" w:after="0"/>
        <w:ind w:left="720" w:hanging="283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не створювати великої яскравості; </w:t>
      </w:r>
    </w:p>
    <w:p>
      <w:pPr>
        <w:pStyle w:val="Style21"/>
        <w:numPr>
          <w:ilvl w:val="0"/>
          <w:numId w:val="15"/>
        </w:numPr>
        <w:tabs>
          <w:tab w:val="left" w:pos="0" w:leader="none"/>
        </w:tabs>
        <w:spacing w:lineRule="auto" w:line="360" w:before="0" w:after="0"/>
        <w:ind w:left="720" w:hanging="283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з</w:t>
      </w:r>
      <w:r>
        <w:rPr>
          <w:sz w:val="24"/>
          <w:szCs w:val="24"/>
          <w:lang w:val="uk-UA" w:eastAsia="zh-CN" w:bidi="hi-IN"/>
        </w:rPr>
        <w:t xml:space="preserve">абезпечувати потрібну рівномірність; </w:t>
      </w:r>
    </w:p>
    <w:p>
      <w:pPr>
        <w:pStyle w:val="Style21"/>
        <w:numPr>
          <w:ilvl w:val="0"/>
          <w:numId w:val="16"/>
        </w:numPr>
        <w:tabs>
          <w:tab w:val="left" w:pos="0" w:leader="none"/>
        </w:tabs>
        <w:spacing w:lineRule="auto" w:line="360" w:before="0" w:after="0"/>
        <w:ind w:left="720" w:hanging="283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не змінювати фізико-хімічні властивості повітря; </w:t>
      </w:r>
    </w:p>
    <w:p>
      <w:pPr>
        <w:pStyle w:val="Style21"/>
        <w:numPr>
          <w:ilvl w:val="0"/>
          <w:numId w:val="17"/>
        </w:numPr>
        <w:tabs>
          <w:tab w:val="left" w:pos="0" w:leader="none"/>
        </w:tabs>
        <w:spacing w:lineRule="auto" w:line="360" w:before="0" w:after="0"/>
        <w:ind w:left="720" w:hanging="283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не бути джерелом пожежної небезпеки, додаткового шуму і теплового випромінювання; </w:t>
      </w:r>
    </w:p>
    <w:p>
      <w:pPr>
        <w:pStyle w:val="Style21"/>
        <w:numPr>
          <w:ilvl w:val="0"/>
          <w:numId w:val="18"/>
        </w:numPr>
        <w:tabs>
          <w:tab w:val="left" w:pos="0" w:leader="none"/>
        </w:tabs>
        <w:spacing w:lineRule="auto" w:line="360"/>
        <w:ind w:left="720" w:hanging="283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бути компактним, естетичним, доступним для огляду та підтримки чистоти.</w:t>
      </w:r>
    </w:p>
    <w:p>
      <w:pPr>
        <w:pStyle w:val="Style21"/>
        <w:spacing w:lineRule="auto" w:line="360" w:before="0" w:after="0"/>
        <w:rPr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 xml:space="preserve">Перебуваючи на робочому місці, співробітники офісів більшу частину світла отримують не з вікон, а саме від штучних джерел: газорозрядних, компактних люмінесцентних або </w:t>
      </w:r>
      <w:r>
        <w:rPr>
          <w:sz w:val="24"/>
          <w:szCs w:val="24"/>
          <w:lang w:val="uk-UA" w:eastAsia="zh-CN" w:bidi="hi-IN"/>
        </w:rPr>
        <w:t>світлодіодних лампочок</w:t>
      </w:r>
      <w:r>
        <w:rPr>
          <w:b w:val="false"/>
          <w:bCs w:val="false"/>
          <w:color w:val="000000"/>
          <w:sz w:val="24"/>
          <w:szCs w:val="24"/>
          <w:highlight w:val="white"/>
          <w:lang w:val="uk-UA" w:eastAsia="zh-CN" w:bidi="hi-IN"/>
        </w:rPr>
        <w:t>. Навіть в</w:t>
      </w:r>
      <w:r>
        <w:rPr>
          <w:sz w:val="24"/>
          <w:szCs w:val="24"/>
          <w:lang w:val="uk-UA" w:eastAsia="zh-CN" w:bidi="hi-IN"/>
        </w:rPr>
        <w:t xml:space="preserve"> літній період не кожен кабінет має досить денного світла, а взимку включати світло часто доводиться взагалі на весь день.</w:t>
      </w:r>
    </w:p>
    <w:p>
      <w:pPr>
        <w:pStyle w:val="Style21"/>
        <w:spacing w:lineRule="auto" w:line="360" w:before="0" w:after="0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Зазначені умови формують «полегшені» принципи роботи організму: оскільки в приміщенні присутнє штучне світло, вироблення мелатоніну пригнічується. Але саме цей гормон несе відповідальність за своєчасний поклик до відпочинку. У природних умовах його концентрація зростає при нестачі світла, і організм починає підготовку до сну. Зараз же працівник не відчуває ознак сонливості, а тому продовжує працювати далі. Але залишається питання про продуктивність – найчастіше в призначений самою природою період ми все одно помітно втрачаємо в здатності концентруватися на дрібницях.</w:t>
      </w:r>
    </w:p>
    <w:p>
      <w:pPr>
        <w:pStyle w:val="2"/>
        <w:numPr>
          <w:ilvl w:val="1"/>
          <w:numId w:val="1"/>
        </w:numPr>
        <w:rPr/>
      </w:pPr>
      <w:r>
        <w:rPr/>
        <w:t>Завдання 5</w:t>
      </w:r>
    </w:p>
    <w:p>
      <w:pPr>
        <w:pStyle w:val="Style21"/>
        <w:rPr>
          <w:b/>
          <w:b/>
          <w:bCs/>
        </w:rPr>
      </w:pPr>
      <w:r>
        <w:rPr>
          <w:b/>
          <w:bCs/>
        </w:rPr>
      </w:r>
    </w:p>
    <w:p>
      <w:pPr>
        <w:pStyle w:val="Style21"/>
        <w:spacing w:lineRule="auto" w:line="360" w:before="0" w:after="0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20" w:top="1348" w:footer="432" w:bottom="1065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>Шило Дан</w:t>
    </w:r>
    <w:r>
      <w:rPr>
        <w:b w:val="false"/>
        <w:bCs w:val="false"/>
        <w:i w:val="false"/>
        <w:iCs w:val="false"/>
        <w:lang w:val="uk-UA" w:eastAsia="zh-CN" w:bidi="hi-IN"/>
      </w:rPr>
      <w:t>іі</w:t>
    </w:r>
    <w:r>
      <w:rPr/>
      <w:t>л. ПЗП</w:t>
    </w:r>
    <w:r>
      <w:rPr>
        <w:rFonts w:ascii="Times New Roman" w:hAnsi="Times New Roman"/>
        <w:lang w:val="uk-UA" w:eastAsia="zh-CN" w:bidi="hi-IN"/>
      </w:rPr>
      <w:t>Із 19-1</w:t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>Шило Дан</w:t>
    </w:r>
    <w:r>
      <w:rPr>
        <w:b w:val="false"/>
        <w:bCs w:val="false"/>
        <w:i w:val="false"/>
        <w:iCs w:val="false"/>
        <w:lang w:val="uk-UA" w:eastAsia="zh-CN" w:bidi="hi-IN"/>
      </w:rPr>
      <w:t>іі</w:t>
    </w:r>
    <w:r>
      <w:rPr/>
      <w:t>л. ПЗП</w:t>
    </w:r>
    <w:r>
      <w:rPr>
        <w:rFonts w:ascii="Times New Roman" w:hAnsi="Times New Roman"/>
        <w:lang w:val="uk-UA" w:eastAsia="zh-CN" w:bidi="hi-IN"/>
      </w:rPr>
      <w:t>Із 19-1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jc w:val="left"/>
    </w:pPr>
    <w:rPr>
      <w:rFonts w:ascii="Liberation Serif" w:hAnsi="Liberation Serif" w:eastAsia="Noto Sans CJK SC" w:cs="Lohit Devanagari"/>
      <w:color w:val="auto"/>
      <w:kern w:val="2"/>
      <w:sz w:val="30"/>
      <w:szCs w:val="24"/>
      <w:lang w:val="en-US" w:eastAsia="zh-CN" w:bidi="hi-IN"/>
    </w:rPr>
  </w:style>
  <w:style w:type="paragraph" w:styleId="2">
    <w:name w:val="Heading 2"/>
    <w:basedOn w:val="Style20"/>
    <w:qFormat/>
    <w:pPr>
      <w:numPr>
        <w:ilvl w:val="1"/>
        <w:numId w:val="1"/>
      </w:numPr>
      <w:spacing w:before="200" w:after="120"/>
      <w:outlineLvl w:val="1"/>
    </w:pPr>
    <w:rPr>
      <w:b/>
      <w:bCs/>
      <w:sz w:val="40"/>
      <w:szCs w:val="32"/>
    </w:rPr>
  </w:style>
  <w:style w:type="character" w:styleId="Style13">
    <w:name w:val="Цитата"/>
    <w:qFormat/>
    <w:rPr>
      <w:i/>
      <w:iCs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Style18">
    <w:name w:val="Ссылка указателя"/>
    <w:qFormat/>
    <w:rPr/>
  </w:style>
  <w:style w:type="character" w:styleId="Style19">
    <w:name w:val="Нумерация строк"/>
    <w:rPr/>
  </w:style>
  <w:style w:type="character" w:styleId="ListLabel55">
    <w:name w:val="ListLabel 55"/>
    <w:qFormat/>
    <w:rPr>
      <w:rFonts w:ascii="Liberation Serif" w:hAnsi="Liberation Serif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6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Style20"/>
    <w:qFormat/>
    <w:pPr>
      <w:suppressLineNumbers/>
      <w:ind w:left="0" w:hanging="0"/>
    </w:pPr>
    <w:rPr>
      <w:b/>
      <w:bCs/>
      <w:sz w:val="32"/>
      <w:szCs w:val="32"/>
    </w:rPr>
  </w:style>
  <w:style w:type="paragraph" w:styleId="21">
    <w:name w:val="TOC 2"/>
    <w:basedOn w:val="Style24"/>
    <w:pPr>
      <w:tabs>
        <w:tab w:val="right" w:pos="9358" w:leader="dot"/>
      </w:tabs>
      <w:ind w:left="283" w:hanging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LibreOffice/6.0.7.3$Linux_X86_64 LibreOffice_project/00m0$Build-3</Application>
  <Pages>10</Pages>
  <Words>2158</Words>
  <Characters>14749</Characters>
  <CharactersWithSpaces>16815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2019-10-23T15:23:40Z</dcterms:created>
  <dc:creator/>
  <dc:description/>
  <dc:language>en-US</dc:language>
  <cp:lastModifiedBy/>
  <dcterms:modified xsi:type="dcterms:W3CDTF">2019-10-24T21:25:25Z</dcterms:modified>
  <cp:revision>26</cp:revision>
  <dc:subject/>
  <dc:title/>
</cp:coreProperties>
</file>