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360"/>
              <w:left w:type="dxa" w:w="360"/>
              <w:bottom w:type="dxa" w:w="360"/>
              <w:right w:type="dxa" w:w="360"/>
            </w:tcMar>
          </w:tcPr>
          <w:p>
            <w:pPr>
              <w:jc w:val="center"/>
            </w:pPr>
            <w:r>
              <w:rPr>
                <w:rFonts w:ascii="Arial" w:cs="Arial" w:eastAsia="Arial" w:hAnsi="Arial"/>
                <w:b/>
                <w:bCs/>
                <w:color w:val="FFFFFF"/>
                <w:sz w:val="64"/>
                <w:szCs w:val="64"/>
              </w:rPr>
              <w:t xml:space="preserve">DJZS</w:t>
            </w:r>
          </w:p>
          <w:p>
            <w:pPr>
              <w:spacing w:before="60"/>
              <w:jc w:val="center"/>
            </w:pPr>
            <w:r>
              <w:rPr>
                <w:rFonts w:ascii="Arial" w:cs="Arial" w:eastAsia="Arial" w:hAnsi="Arial"/>
                <w:b/>
                <w:bCs/>
                <w:color w:val="D6E4F0"/>
                <w:sz w:val="28"/>
                <w:szCs w:val="28"/>
              </w:rPr>
              <w:t xml:space="preserve">STRATEGY MEMO</w:t>
            </w:r>
          </w:p>
          <w:p>
            <w:pPr>
              <w:spacing w:before="80"/>
              <w:jc w:val="center"/>
            </w:pPr>
            <w:r>
              <w:rPr>
                <w:rFonts w:ascii="Arial" w:cs="Arial" w:eastAsia="Arial" w:hAnsi="Arial"/>
                <w:color w:val="A9CCE3"/>
                <w:sz w:val="22"/>
                <w:szCs w:val="22"/>
              </w:rPr>
              <w:t xml:space="preserve">Autonomous Auditing System for the A2A Economy</w:t>
            </w:r>
          </w:p>
          <w:p>
            <w:pPr>
              <w:spacing w:before="60"/>
              <w:jc w:val="center"/>
            </w:pPr>
            <w:r>
              <w:rPr>
                <w:rFonts w:ascii="Arial" w:cs="Arial" w:eastAsia="Arial" w:hAnsi="Arial"/>
                <w:color w:val="7FB3D3"/>
                <w:sz w:val="18"/>
                <w:szCs w:val="18"/>
              </w:rPr>
              <w:t xml:space="preserve">February 2026  |  CONFIDENTIAL</w:t>
            </w:r>
          </w:p>
        </w:tc>
      </w:tr>
    </w:tbl>
    <w:p>
      <w:pPr>
        <w:spacing w:before="60" w:after="60"/>
      </w:pPr>
      <w:r>
        <w:t xml:space="preserve"/>
      </w:r>
    </w:p>
    <w:p>
      <w:pPr>
        <w:spacing w:before="60" w:after="60"/>
      </w:pPr>
      <w:r>
        <w:t xml:space="preserve"/>
      </w:r>
    </w:p>
    <w:p>
      <w:pPr>
        <w:pStyle w:val="Heading1"/>
        <w:pBdr>
          <w:bottom w:val="single" w:color="2E86C1" w:sz="6" w:space="4"/>
        </w:pBdr>
        <w:spacing w:before="320" w:after="120"/>
      </w:pPr>
      <w:r>
        <w:rPr>
          <w:rFonts w:ascii="Arial" w:cs="Arial" w:eastAsia="Arial" w:hAnsi="Arial"/>
          <w:b/>
          <w:bCs/>
          <w:color w:val="1A3C5E"/>
          <w:sz w:val="28"/>
          <w:szCs w:val="28"/>
        </w:rPr>
        <w:t xml:space="preserve">Executive Summary</w:t>
      </w:r>
    </w:p>
    <w:p>
      <w:pPr>
        <w:spacing w:before="60" w:after="100"/>
      </w:pPr>
      <w:r>
        <w:rPr>
          <w:rFonts w:ascii="Arial" w:cs="Arial" w:eastAsia="Arial" w:hAnsi="Arial"/>
          <w:sz w:val="22"/>
          <w:szCs w:val="22"/>
        </w:rPr>
        <w:t xml:space="preserve">DJZS (djzs.ai) is an early-stage crypto/AI project positioning itself as the Adversarial Logic Layer for the emerging Agent-to-Agent (A2A) economy. The core thesis is that autonomous AI agents transacting with each other at scale require a deterministic verification primitive — a trustless audit layer that enforces an "Audit-Before-Act" loop before any consequential on-chain or off-chain action is executed.</w:t>
      </w:r>
    </w:p>
    <w:p>
      <w:pPr>
        <w:spacing w:before="60" w:after="60"/>
      </w:pPr>
      <w:r>
        <w:t xml:space="preserve"/>
      </w:r>
    </w:p>
    <w:p>
      <w:pPr>
        <w:spacing w:before="60" w:after="100"/>
      </w:pPr>
      <w:r>
        <w:rPr>
          <w:rFonts w:ascii="Arial" w:cs="Arial" w:eastAsia="Arial" w:hAnsi="Arial"/>
          <w:sz w:val="22"/>
          <w:szCs w:val="22"/>
        </w:rPr>
        <w:t xml:space="preserve">The project sits at the intersection of two accelerating narratives: AI agent infrastructure and decentralized verification. The problem it targets is real. The solution is architecturally defensible. The execution risk, however, is very high due to the project's nascent stage, minimal public traction, and a highly competitive emerging landscape.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A3C5E"/>
                <w:sz w:val="22"/>
                <w:szCs w:val="22"/>
              </w:rPr>
              <w:t xml:space="preserve">Bottom Line</w:t>
            </w:r>
          </w:p>
          <w:p>
            <w:pPr>
              <w:spacing w:before="60"/>
            </w:pPr>
            <w:r>
              <w:rPr>
                <w:rFonts w:ascii="Arial" w:cs="Arial" w:eastAsia="Arial" w:hAnsi="Arial"/>
                <w:sz w:val="22"/>
                <w:szCs w:val="22"/>
              </w:rPr>
              <w:t xml:space="preserve">DJZS is a high-conviction concept in a market-timing sweet spot, but it is pre-product and pre-liquidity. Any strategy must account for extreme early-stage risk alongside the asymmetric upside of being early to a potentially foundational infrastructure layer.</w:t>
            </w:r>
          </w:p>
        </w:tc>
      </w:tr>
    </w:tbl>
    <w:p>
      <w:pPr>
        <w:spacing w:before="60" w:after="60"/>
      </w:pPr>
      <w:r>
        <w:t xml:space="preserve"/>
      </w:r>
    </w:p>
    <w:p>
      <w:pPr>
        <w:pStyle w:val="Heading1"/>
        <w:pBdr>
          <w:bottom w:val="single" w:color="2E86C1" w:sz="6" w:space="4"/>
        </w:pBdr>
        <w:spacing w:before="320" w:after="120"/>
      </w:pPr>
      <w:r>
        <w:rPr>
          <w:rFonts w:ascii="Arial" w:cs="Arial" w:eastAsia="Arial" w:hAnsi="Arial"/>
          <w:b/>
          <w:bCs/>
          <w:color w:val="1A3C5E"/>
          <w:sz w:val="28"/>
          <w:szCs w:val="28"/>
        </w:rPr>
        <w:t xml:space="preserve">Market Context &amp; Opportunity</w:t>
      </w:r>
    </w:p>
    <w:p>
      <w:pPr>
        <w:pStyle w:val="Heading2"/>
        <w:spacing w:before="240" w:after="80"/>
      </w:pPr>
      <w:r>
        <w:rPr>
          <w:rFonts w:ascii="Arial" w:cs="Arial" w:eastAsia="Arial" w:hAnsi="Arial"/>
          <w:b/>
          <w:bCs/>
          <w:color w:val="2E86C1"/>
          <w:sz w:val="24"/>
          <w:szCs w:val="24"/>
        </w:rPr>
        <w:t xml:space="preserve">The A2A Economy Is Real and Growing</w:t>
      </w:r>
    </w:p>
    <w:p>
      <w:pPr>
        <w:spacing w:before="60" w:after="100"/>
      </w:pPr>
      <w:r>
        <w:rPr>
          <w:rFonts w:ascii="Arial" w:cs="Arial" w:eastAsia="Arial" w:hAnsi="Arial"/>
          <w:sz w:val="22"/>
          <w:szCs w:val="22"/>
        </w:rPr>
        <w:t xml:space="preserve">Agent-to-Agent (A2A) communication protocols — including Google's A2A spec, Anthropic's MCP, and other emerging standards — are converging into a genuine infrastructure layer for autonomous AI. Peer-reviewed security research published in late 2025 identifies A2A protocol vulnerabilities as a primary attack surface in the multi-agent economy, validating the problem space DJZS is targeting.</w:t>
      </w:r>
    </w:p>
    <w:p>
      <w:pPr>
        <w:spacing w:before="60" w:after="60"/>
      </w:pPr>
      <w:r>
        <w:t xml:space="preserve"/>
      </w:r>
    </w:p>
    <w:p>
      <w:pPr>
        <w:spacing w:before="60" w:after="100"/>
      </w:pPr>
      <w:r>
        <w:rPr>
          <w:rFonts w:ascii="Arial" w:cs="Arial" w:eastAsia="Arial" w:hAnsi="Arial"/>
          <w:sz w:val="22"/>
          <w:szCs w:val="22"/>
        </w:rPr>
        <w:t xml:space="preserve">The core dynamic: as AI agents execute more real-world transactions autonomously — payments, trades, on-chain interactions — the need for a verifiable audit checkpoint before each action becomes critical. Without it, a single prompt injection or adversarial manipulation could propagate through an entire agentic workflow.</w:t>
      </w:r>
    </w:p>
    <w:p>
      <w:pPr>
        <w:spacing w:before="60" w:after="60"/>
      </w:pPr>
      <w:r>
        <w:t xml:space="preserve"/>
      </w:r>
    </w:p>
    <w:p>
      <w:pPr>
        <w:pStyle w:val="Heading2"/>
        <w:spacing w:before="240" w:after="80"/>
      </w:pPr>
      <w:r>
        <w:rPr>
          <w:rFonts w:ascii="Arial" w:cs="Arial" w:eastAsia="Arial" w:hAnsi="Arial"/>
          <w:b/>
          <w:bCs/>
          <w:color w:val="2E86C1"/>
          <w:sz w:val="24"/>
          <w:szCs w:val="24"/>
        </w:rPr>
        <w:t xml:space="preserve">Why Timing Matters</w:t>
      </w:r>
    </w:p>
    <w:p>
      <w:pPr>
        <w:pStyle w:val="ListParagraph"/>
        <w:numPr>
          <w:ilvl w:val="0"/>
          <w:numId w:val="2"/>
        </w:numPr>
        <w:spacing w:before="40" w:after="40"/>
      </w:pPr>
      <w:r>
        <w:rPr>
          <w:rFonts w:ascii="Arial" w:cs="Arial" w:eastAsia="Arial" w:hAnsi="Arial"/>
          <w:sz w:val="22"/>
          <w:szCs w:val="22"/>
        </w:rPr>
        <w:t xml:space="preserve">A2A and MCP protocols are in early standardization — infrastructure plays built now have protocol-level positioning potential.</w:t>
      </w:r>
    </w:p>
    <w:p>
      <w:pPr>
        <w:pStyle w:val="ListParagraph"/>
        <w:numPr>
          <w:ilvl w:val="0"/>
          <w:numId w:val="2"/>
        </w:numPr>
        <w:spacing w:before="40" w:after="40"/>
      </w:pPr>
      <w:r>
        <w:rPr>
          <w:rFonts w:ascii="Arial" w:cs="Arial" w:eastAsia="Arial" w:hAnsi="Arial"/>
          <w:sz w:val="22"/>
          <w:szCs w:val="22"/>
        </w:rPr>
        <w:t xml:space="preserve">The market has not yet priced in the AI agent security narrative at the infrastructure layer.</w:t>
      </w:r>
    </w:p>
    <w:p>
      <w:pPr>
        <w:pStyle w:val="ListParagraph"/>
        <w:numPr>
          <w:ilvl w:val="0"/>
          <w:numId w:val="2"/>
        </w:numPr>
        <w:spacing w:before="40" w:after="40"/>
      </w:pPr>
      <w:r>
        <w:rPr>
          <w:rFonts w:ascii="Arial" w:cs="Arial" w:eastAsia="Arial" w:hAnsi="Arial"/>
          <w:sz w:val="22"/>
          <w:szCs w:val="22"/>
        </w:rPr>
        <w:t xml:space="preserve">AI agent exploits and vulnerabilities are receiving increasing academic and media attention, which will eventually create investor demand for solutions.</w:t>
      </w:r>
    </w:p>
    <w:p>
      <w:pPr>
        <w:pStyle w:val="ListParagraph"/>
        <w:numPr>
          <w:ilvl w:val="0"/>
          <w:numId w:val="2"/>
        </w:numPr>
        <w:spacing w:before="40" w:after="40"/>
      </w:pPr>
      <w:r>
        <w:rPr>
          <w:rFonts w:ascii="Arial" w:cs="Arial" w:eastAsia="Arial" w:hAnsi="Arial"/>
          <w:sz w:val="22"/>
          <w:szCs w:val="22"/>
        </w:rPr>
        <w:t xml:space="preserve">The macro environment (Feb 2026) is risk-off due to geopolitical tensions, but this may compress valuations and create favorable entry conditions for early-stage projects.</w:t>
      </w:r>
    </w:p>
    <w:p>
      <w:pPr>
        <w:spacing w:before="60" w:after="60"/>
      </w:pPr>
      <w:r>
        <w:t xml:space="preserve"/>
      </w:r>
    </w:p>
    <w:p>
      <w:pPr>
        <w:pStyle w:val="Heading1"/>
        <w:pBdr>
          <w:bottom w:val="single" w:color="2E86C1" w:sz="6" w:space="4"/>
        </w:pBdr>
        <w:spacing w:before="320" w:after="120"/>
      </w:pPr>
      <w:r>
        <w:rPr>
          <w:rFonts w:ascii="Arial" w:cs="Arial" w:eastAsia="Arial" w:hAnsi="Arial"/>
          <w:b/>
          <w:bCs/>
          <w:color w:val="1A3C5E"/>
          <w:sz w:val="28"/>
          <w:szCs w:val="28"/>
        </w:rPr>
        <w:t xml:space="preserve">Project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c>
          <w:tcPr>
            <w:tcW w:type="dxa" w:w="31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djzs.ai — live, minimal content</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JS-rendered, pre-launch stage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GitHub Repo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UsernameDAOEth/djzs-AI — public</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1,176+ commits, real codebase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Core Concept</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Adversarial Logic Layer / Audit-Before-Act</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Architecturally coherent, defensible thesis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Tech Stack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Solidity contracts, Docker, Drizzle ORM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Full-stack deployment infrastructure exists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Token / Market</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 listing found on CMC or CoinGecko</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Pre-listing or very low cap / unlisted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Integrations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Avantis service module present in repo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On-chain DeFi protocol integration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NFT Component</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deploy-nft folder present</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Likely access pass or governance mechanism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Team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UsernameDAOEth — pseudonymous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Unknown; common in early-stage crypto</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Community</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 GitHub star, 0 forks (as of Feb 2026)</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 visible community traction yet</w:t>
            </w:r>
          </w:p>
        </w:tc>
      </w:tr>
    </w:tbl>
    <w:p>
      <w:pPr>
        <w:spacing w:before="60" w:after="60"/>
      </w:pPr>
      <w:r>
        <w:t xml:space="preserve"/>
      </w:r>
    </w:p>
    <w:p>
      <w:pPr>
        <w:pStyle w:val="Heading1"/>
        <w:pBdr>
          <w:bottom w:val="single" w:color="2E86C1" w:sz="6" w:space="4"/>
        </w:pBdr>
        <w:spacing w:before="320" w:after="120"/>
      </w:pPr>
      <w:r>
        <w:rPr>
          <w:rFonts w:ascii="Arial" w:cs="Arial" w:eastAsia="Arial" w:hAnsi="Arial"/>
          <w:b/>
          <w:bCs/>
          <w:color w:val="1A3C5E"/>
          <w:sz w:val="28"/>
          <w:szCs w:val="28"/>
        </w:rPr>
        <w:t xml:space="preserve">Core Investment/Positioning Thesis</w:t>
      </w:r>
    </w:p>
    <w:p>
      <w:pPr>
        <w:pStyle w:val="Heading2"/>
        <w:spacing w:before="240" w:after="80"/>
      </w:pPr>
      <w:r>
        <w:rPr>
          <w:rFonts w:ascii="Arial" w:cs="Arial" w:eastAsia="Arial" w:hAnsi="Arial"/>
          <w:b/>
          <w:bCs/>
          <w:color w:val="2E86C1"/>
          <w:sz w:val="24"/>
          <w:szCs w:val="24"/>
        </w:rPr>
        <w:t xml:space="preserve">The Problem DJZS Solves</w:t>
      </w:r>
    </w:p>
    <w:p>
      <w:pPr>
        <w:spacing w:before="60" w:after="100"/>
      </w:pPr>
      <w:r>
        <w:rPr>
          <w:rFonts w:ascii="Arial" w:cs="Arial" w:eastAsia="Arial" w:hAnsi="Arial"/>
          <w:sz w:val="22"/>
          <w:szCs w:val="22"/>
        </w:rPr>
        <w:t xml:space="preserve">Autonomous agents — whether trading bots, AI orchestrators, or multi-step workflow engines — currently have no standardized verification primitive before they act. They are vulnerable to:</w:t>
      </w:r>
    </w:p>
    <w:p>
      <w:pPr>
        <w:pStyle w:val="ListParagraph"/>
        <w:numPr>
          <w:ilvl w:val="0"/>
          <w:numId w:val="2"/>
        </w:numPr>
        <w:spacing w:before="40" w:after="40"/>
      </w:pPr>
      <w:r>
        <w:rPr>
          <w:rFonts w:ascii="Arial" w:cs="Arial" w:eastAsia="Arial" w:hAnsi="Arial"/>
          <w:sz w:val="22"/>
          <w:szCs w:val="22"/>
        </w:rPr>
        <w:t xml:space="preserve">Prompt injection attacks that hijack agent reasoning mid-workflow</w:t>
      </w:r>
    </w:p>
    <w:p>
      <w:pPr>
        <w:pStyle w:val="ListParagraph"/>
        <w:numPr>
          <w:ilvl w:val="0"/>
          <w:numId w:val="2"/>
        </w:numPr>
        <w:spacing w:before="40" w:after="40"/>
      </w:pPr>
      <w:r>
        <w:rPr>
          <w:rFonts w:ascii="Arial" w:cs="Arial" w:eastAsia="Arial" w:hAnsi="Arial"/>
          <w:sz w:val="22"/>
          <w:szCs w:val="22"/>
        </w:rPr>
        <w:t xml:space="preserve">Protocol-level exploits in MCP/A2A communications</w:t>
      </w:r>
    </w:p>
    <w:p>
      <w:pPr>
        <w:pStyle w:val="ListParagraph"/>
        <w:numPr>
          <w:ilvl w:val="0"/>
          <w:numId w:val="2"/>
        </w:numPr>
        <w:spacing w:before="40" w:after="40"/>
      </w:pPr>
      <w:r>
        <w:rPr>
          <w:rFonts w:ascii="Arial" w:cs="Arial" w:eastAsia="Arial" w:hAnsi="Arial"/>
          <w:sz w:val="22"/>
          <w:szCs w:val="22"/>
        </w:rPr>
        <w:t xml:space="preserve">Adversarial inputs that cause agents to execute malicious or unintended on-chain transactions</w:t>
      </w:r>
    </w:p>
    <w:p>
      <w:pPr>
        <w:pStyle w:val="ListParagraph"/>
        <w:numPr>
          <w:ilvl w:val="0"/>
          <w:numId w:val="2"/>
        </w:numPr>
        <w:spacing w:before="40" w:after="40"/>
      </w:pPr>
      <w:r>
        <w:rPr>
          <w:rFonts w:ascii="Arial" w:cs="Arial" w:eastAsia="Arial" w:hAnsi="Arial"/>
          <w:sz w:val="22"/>
          <w:szCs w:val="22"/>
        </w:rPr>
        <w:t xml:space="preserve">Lack of accountability — no audit trail for agent decisions in regulatory terms</w:t>
      </w:r>
    </w:p>
    <w:p>
      <w:pPr>
        <w:spacing w:before="60" w:after="60"/>
      </w:pPr>
      <w:r>
        <w:t xml:space="preserve"/>
      </w:r>
    </w:p>
    <w:p>
      <w:pPr>
        <w:pStyle w:val="Heading2"/>
        <w:spacing w:before="240" w:after="80"/>
      </w:pPr>
      <w:r>
        <w:rPr>
          <w:rFonts w:ascii="Arial" w:cs="Arial" w:eastAsia="Arial" w:hAnsi="Arial"/>
          <w:b/>
          <w:bCs/>
          <w:color w:val="2E86C1"/>
          <w:sz w:val="24"/>
          <w:szCs w:val="24"/>
        </w:rPr>
        <w:t xml:space="preserve">What DJZS Proposes</w:t>
      </w:r>
    </w:p>
    <w:p>
      <w:pPr>
        <w:spacing w:before="60" w:after="100"/>
      </w:pPr>
      <w:r>
        <w:rPr>
          <w:rFonts w:ascii="Arial" w:cs="Arial" w:eastAsia="Arial" w:hAnsi="Arial"/>
          <w:sz w:val="22"/>
          <w:szCs w:val="22"/>
        </w:rPr>
        <w:t xml:space="preserve">A deterministic audit layer that intercepts agent actions before execution, applies adversarial logic checks, and enforces an "Audit-Before-Act" gate. The on-chain contract infrastructure and Avantis integration suggest a DeFi-first implementation, where the initial use case is auditing autonomous trading agents before they submit transactions.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A3C5E"/>
                <w:sz w:val="22"/>
                <w:szCs w:val="22"/>
              </w:rPr>
              <w:t xml:space="preserve">Strategic Analogy</w:t>
            </w:r>
          </w:p>
          <w:p>
            <w:pPr>
              <w:spacing w:before="60"/>
            </w:pPr>
            <w:r>
              <w:rPr>
                <w:rFonts w:ascii="Arial" w:cs="Arial" w:eastAsia="Arial" w:hAnsi="Arial"/>
                <w:sz w:val="22"/>
                <w:szCs w:val="22"/>
              </w:rPr>
              <w:t xml:space="preserve">If Chainlink is the oracle layer (trusted data in), DJZS aims to be the adversarial logic layer (trusted verification before action). The positioning is pre-execution verification, not post-execution audit — a meaningfully different and more valuable location in the stack.</w:t>
            </w:r>
          </w:p>
        </w:tc>
      </w:tr>
    </w:tbl>
    <w:p>
      <w:pPr>
        <w:spacing w:before="60" w:after="60"/>
      </w:pPr>
      <w:r>
        <w:t xml:space="preserve"/>
      </w:r>
    </w:p>
    <w:p>
      <w:pPr>
        <w:pStyle w:val="Heading1"/>
        <w:pBdr>
          <w:bottom w:val="single" w:color="2E86C1" w:sz="6" w:space="4"/>
        </w:pBdr>
        <w:spacing w:before="320" w:after="120"/>
      </w:pPr>
      <w:r>
        <w:rPr>
          <w:rFonts w:ascii="Arial" w:cs="Arial" w:eastAsia="Arial" w:hAnsi="Arial"/>
          <w:b/>
          <w:bCs/>
          <w:color w:val="1A3C5E"/>
          <w:sz w:val="28"/>
          <w:szCs w:val="28"/>
        </w:rPr>
        <w:t xml:space="preserve">Risk Assessment</w:t>
      </w:r>
    </w:p>
    <w:p>
      <w:pPr>
        <w:pStyle w:val="Heading2"/>
        <w:spacing w:before="240" w:after="80"/>
      </w:pPr>
      <w:r>
        <w:rPr>
          <w:rFonts w:ascii="Arial" w:cs="Arial" w:eastAsia="Arial" w:hAnsi="Arial"/>
          <w:b/>
          <w:bCs/>
          <w:color w:val="2E86C1"/>
          <w:sz w:val="24"/>
          <w:szCs w:val="24"/>
        </w:rPr>
        <w:t xml:space="preserve">Critical Risks</w:t>
      </w:r>
    </w:p>
    <w:p>
      <w:pPr>
        <w:pStyle w:val="ListParagraph"/>
        <w:numPr>
          <w:ilvl w:val="0"/>
          <w:numId w:val="2"/>
        </w:numPr>
        <w:spacing w:before="40" w:after="40"/>
      </w:pPr>
      <w:r>
        <w:rPr>
          <w:rFonts w:ascii="Arial" w:cs="Arial" w:eastAsia="Arial" w:hAnsi="Arial"/>
          <w:b/>
          <w:bCs/>
          <w:sz w:val="22"/>
          <w:szCs w:val="22"/>
        </w:rPr>
        <w:t xml:space="preserve">The project is effectively pre-launch with no visible user base, community, or token liquidity. The team is pseudonymous. There is no verifiable traction. </w:t>
      </w:r>
      <w:r>
        <w:rPr>
          <w:rFonts w:ascii="Arial" w:cs="Arial" w:eastAsia="Arial" w:hAnsi="Arial"/>
          <w:sz w:val="22"/>
          <w:szCs w:val="22"/>
        </w:rPr>
        <w:t xml:space="preserve">Execution Risk (HIGH):</w:t>
      </w:r>
    </w:p>
    <w:p>
      <w:pPr>
        <w:pStyle w:val="ListParagraph"/>
        <w:numPr>
          <w:ilvl w:val="0"/>
          <w:numId w:val="2"/>
        </w:numPr>
        <w:spacing w:before="40" w:after="40"/>
      </w:pPr>
      <w:r>
        <w:rPr>
          <w:rFonts w:ascii="Arial" w:cs="Arial" w:eastAsia="Arial" w:hAnsi="Arial"/>
          <w:b/>
          <w:bCs/>
          <w:sz w:val="22"/>
          <w:szCs w:val="22"/>
        </w:rPr>
        <w:t xml:space="preserve">Larger well-funded teams (Chainlink, EigenLayer, established AI security firms) could ship a comparable product with significantly more resources. </w:t>
      </w:r>
      <w:r>
        <w:rPr>
          <w:rFonts w:ascii="Arial" w:cs="Arial" w:eastAsia="Arial" w:hAnsi="Arial"/>
          <w:sz w:val="22"/>
          <w:szCs w:val="22"/>
        </w:rPr>
        <w:t xml:space="preserve">Competition Risk (HIGH):</w:t>
      </w:r>
    </w:p>
    <w:p>
      <w:pPr>
        <w:pStyle w:val="ListParagraph"/>
        <w:numPr>
          <w:ilvl w:val="0"/>
          <w:numId w:val="2"/>
        </w:numPr>
        <w:spacing w:before="40" w:after="40"/>
      </w:pPr>
      <w:r>
        <w:rPr>
          <w:rFonts w:ascii="Arial" w:cs="Arial" w:eastAsia="Arial" w:hAnsi="Arial"/>
          <w:b/>
          <w:bCs/>
          <w:sz w:val="22"/>
          <w:szCs w:val="22"/>
        </w:rPr>
        <w:t xml:space="preserve">The A2A economy narrative, while directionally correct, may take 12-36 months to become a mainstream investment theme. Early positioning requires patience and capital tolerance. </w:t>
      </w:r>
      <w:r>
        <w:rPr>
          <w:rFonts w:ascii="Arial" w:cs="Arial" w:eastAsia="Arial" w:hAnsi="Arial"/>
          <w:sz w:val="22"/>
          <w:szCs w:val="22"/>
        </w:rPr>
        <w:t xml:space="preserve">Market Timing Risk (MEDIUM-HIGH):</w:t>
      </w:r>
    </w:p>
    <w:p>
      <w:pPr>
        <w:pStyle w:val="ListParagraph"/>
        <w:numPr>
          <w:ilvl w:val="0"/>
          <w:numId w:val="2"/>
        </w:numPr>
        <w:spacing w:before="40" w:after="40"/>
      </w:pPr>
      <w:r>
        <w:rPr>
          <w:rFonts w:ascii="Arial" w:cs="Arial" w:eastAsia="Arial" w:hAnsi="Arial"/>
          <w:b/>
          <w:bCs/>
          <w:sz w:val="22"/>
          <w:szCs w:val="22"/>
        </w:rPr>
        <w:t xml:space="preserve">The codebase exists and has significant commit history, but unaudited smart contracts in a security-focused project is a red flag that must be addressed before any serious capital deployment. </w:t>
      </w:r>
      <w:r>
        <w:rPr>
          <w:rFonts w:ascii="Arial" w:cs="Arial" w:eastAsia="Arial" w:hAnsi="Arial"/>
          <w:sz w:val="22"/>
          <w:szCs w:val="22"/>
        </w:rPr>
        <w:t xml:space="preserve">Technical Risk (MEDIUM):</w:t>
      </w:r>
    </w:p>
    <w:p>
      <w:pPr>
        <w:pStyle w:val="ListParagraph"/>
        <w:numPr>
          <w:ilvl w:val="0"/>
          <w:numId w:val="2"/>
        </w:numPr>
        <w:spacing w:before="40" w:after="40"/>
      </w:pPr>
      <w:r>
        <w:rPr>
          <w:rFonts w:ascii="Arial" w:cs="Arial" w:eastAsia="Arial" w:hAnsi="Arial"/>
          <w:b/>
          <w:bCs/>
          <w:sz w:val="22"/>
          <w:szCs w:val="22"/>
        </w:rPr>
        <w:t xml:space="preserve">AI agent auditing touching on-chain transactions will face regulatory scrutiny as AI governance frameworks evolve globally throughout 2026-2027. </w:t>
      </w:r>
      <w:r>
        <w:rPr>
          <w:rFonts w:ascii="Arial" w:cs="Arial" w:eastAsia="Arial" w:hAnsi="Arial"/>
          <w:sz w:val="22"/>
          <w:szCs w:val="22"/>
        </w:rPr>
        <w:t xml:space="preserve">Regulatory Risk (MEDIUM):</w:t>
      </w:r>
    </w:p>
    <w:p>
      <w:pPr>
        <w:spacing w:before="60" w:after="60"/>
      </w:pPr>
      <w:r>
        <w:t xml:space="preserve"/>
      </w:r>
    </w:p>
    <w:p>
      <w:pPr>
        <w:pStyle w:val="Heading2"/>
        <w:spacing w:before="240" w:after="80"/>
      </w:pPr>
      <w:r>
        <w:rPr>
          <w:rFonts w:ascii="Arial" w:cs="Arial" w:eastAsia="Arial" w:hAnsi="Arial"/>
          <w:b/>
          <w:bCs/>
          <w:color w:val="2E86C1"/>
          <w:sz w:val="24"/>
          <w:szCs w:val="24"/>
        </w:rPr>
        <w:t xml:space="preserve">Mitigating Factors</w:t>
      </w:r>
    </w:p>
    <w:p>
      <w:pPr>
        <w:pStyle w:val="ListParagraph"/>
        <w:numPr>
          <w:ilvl w:val="0"/>
          <w:numId w:val="2"/>
        </w:numPr>
        <w:spacing w:before="40" w:after="40"/>
      </w:pPr>
      <w:r>
        <w:rPr>
          <w:rFonts w:ascii="Arial" w:cs="Arial" w:eastAsia="Arial" w:hAnsi="Arial"/>
          <w:sz w:val="22"/>
          <w:szCs w:val="22"/>
        </w:rPr>
        <w:t xml:space="preserve">The GitHub repo has genuine substance — 1,176+ commits is not a whitepaper project.</w:t>
      </w:r>
    </w:p>
    <w:p>
      <w:pPr>
        <w:pStyle w:val="ListParagraph"/>
        <w:numPr>
          <w:ilvl w:val="0"/>
          <w:numId w:val="2"/>
        </w:numPr>
        <w:spacing w:before="40" w:after="40"/>
      </w:pPr>
      <w:r>
        <w:rPr>
          <w:rFonts w:ascii="Arial" w:cs="Arial" w:eastAsia="Arial" w:hAnsi="Arial"/>
          <w:sz w:val="22"/>
          <w:szCs w:val="22"/>
        </w:rPr>
        <w:t xml:space="preserve">The technical architecture (Docker, Drizzle ORM, Solidity contracts, Avantis integration) reflects real engineering effort.</w:t>
      </w:r>
    </w:p>
    <w:p>
      <w:pPr>
        <w:pStyle w:val="ListParagraph"/>
        <w:numPr>
          <w:ilvl w:val="0"/>
          <w:numId w:val="2"/>
        </w:numPr>
        <w:spacing w:before="40" w:after="40"/>
      </w:pPr>
      <w:r>
        <w:rPr>
          <w:rFonts w:ascii="Arial" w:cs="Arial" w:eastAsia="Arial" w:hAnsi="Arial"/>
          <w:sz w:val="22"/>
          <w:szCs w:val="22"/>
        </w:rPr>
        <w:t xml:space="preserve">The problem statement is independently validated by peer-reviewed academic research on A2A protocol vulnerabilities.</w:t>
      </w:r>
    </w:p>
    <w:p>
      <w:pPr>
        <w:pStyle w:val="ListParagraph"/>
        <w:numPr>
          <w:ilvl w:val="0"/>
          <w:numId w:val="2"/>
        </w:numPr>
        <w:spacing w:before="40" w:after="40"/>
      </w:pPr>
      <w:r>
        <w:rPr>
          <w:rFonts w:ascii="Arial" w:cs="Arial" w:eastAsia="Arial" w:hAnsi="Arial"/>
          <w:sz w:val="22"/>
          <w:szCs w:val="22"/>
        </w:rPr>
        <w:t xml:space="preserve">Early positioning allows maximum upside if the thesis plays out.</w:t>
      </w:r>
    </w:p>
    <w:p>
      <w:pPr>
        <w:spacing w:before="60" w:after="60"/>
      </w:pPr>
      <w:r>
        <w:t xml:space="preserve"/>
      </w:r>
    </w:p>
    <w:p>
      <w:pPr>
        <w:pStyle w:val="Heading1"/>
        <w:pBdr>
          <w:bottom w:val="single" w:color="2E86C1" w:sz="6" w:space="4"/>
        </w:pBdr>
        <w:spacing w:before="320" w:after="120"/>
      </w:pPr>
      <w:r>
        <w:rPr>
          <w:rFonts w:ascii="Arial" w:cs="Arial" w:eastAsia="Arial" w:hAnsi="Arial"/>
          <w:b/>
          <w:bCs/>
          <w:color w:val="1A3C5E"/>
          <w:sz w:val="28"/>
          <w:szCs w:val="28"/>
        </w:rPr>
        <w:t xml:space="preserve">Strategic Recommendations</w:t>
      </w:r>
    </w:p>
    <w:p>
      <w:pPr>
        <w:pStyle w:val="Heading2"/>
        <w:spacing w:before="240" w:after="80"/>
      </w:pPr>
      <w:r>
        <w:rPr>
          <w:rFonts w:ascii="Arial" w:cs="Arial" w:eastAsia="Arial" w:hAnsi="Arial"/>
          <w:b/>
          <w:bCs/>
          <w:color w:val="2E86C1"/>
          <w:sz w:val="24"/>
          <w:szCs w:val="24"/>
        </w:rPr>
        <w:t xml:space="preserve">If You Are an Investor / Trader</w:t>
      </w:r>
    </w:p>
    <w:p>
      <w:pPr>
        <w:spacing w:before="60" w:after="100"/>
      </w:pPr>
      <w:r>
        <w:rPr>
          <w:rFonts w:ascii="Arial" w:cs="Arial" w:eastAsia="Arial" w:hAnsi="Arial"/>
          <w:sz w:val="22"/>
          <w:szCs w:val="22"/>
        </w:rPr>
        <w:t xml:space="preserve">Given the pre-listing, pre-community state of the project, any capital deployed here is venture-style risk — not trading risk. Treat accordingly.</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Position sizing: Maximum 1-3% of total portfolio. This is a moonshot bet, not a base case.</w:t>
      </w:r>
    </w:p>
    <w:p>
      <w:pPr>
        <w:pStyle w:val="ListParagraph"/>
        <w:numPr>
          <w:ilvl w:val="0"/>
          <w:numId w:val="2"/>
        </w:numPr>
        <w:spacing w:before="40" w:after="40"/>
      </w:pPr>
      <w:r>
        <w:rPr>
          <w:rFonts w:ascii="Arial" w:cs="Arial" w:eastAsia="Arial" w:hAnsi="Arial"/>
          <w:sz w:val="22"/>
          <w:szCs w:val="22"/>
        </w:rPr>
        <w:t xml:space="preserve">Entry trigger: Wait for a token listing event, initial liquidity pool launch, or audited smart contract release before committing meaningful capital.</w:t>
      </w:r>
    </w:p>
    <w:p>
      <w:pPr>
        <w:pStyle w:val="ListParagraph"/>
        <w:numPr>
          <w:ilvl w:val="0"/>
          <w:numId w:val="2"/>
        </w:numPr>
        <w:spacing w:before="40" w:after="40"/>
      </w:pPr>
      <w:r>
        <w:rPr>
          <w:rFonts w:ascii="Arial" w:cs="Arial" w:eastAsia="Arial" w:hAnsi="Arial"/>
          <w:sz w:val="22"/>
          <w:szCs w:val="22"/>
        </w:rPr>
        <w:t xml:space="preserve">Monitor: Watch for a community launch (Twitter/X, Discord, Telegram), whitepaper release, and any protocol partnership announcements.</w:t>
      </w:r>
    </w:p>
    <w:p>
      <w:pPr>
        <w:pStyle w:val="ListParagraph"/>
        <w:numPr>
          <w:ilvl w:val="0"/>
          <w:numId w:val="2"/>
        </w:numPr>
        <w:spacing w:before="40" w:after="40"/>
      </w:pPr>
      <w:r>
        <w:rPr>
          <w:rFonts w:ascii="Arial" w:cs="Arial" w:eastAsia="Arial" w:hAnsi="Arial"/>
          <w:sz w:val="22"/>
          <w:szCs w:val="22"/>
        </w:rPr>
        <w:t xml:space="preserve">Risk management: Set a hard stop — if no material development (listing, partnership, audit) occurs within 90 days of your entry, reassess fully.</w:t>
      </w:r>
    </w:p>
    <w:p>
      <w:pPr>
        <w:pStyle w:val="ListParagraph"/>
        <w:numPr>
          <w:ilvl w:val="0"/>
          <w:numId w:val="2"/>
        </w:numPr>
        <w:spacing w:before="40" w:after="40"/>
      </w:pPr>
      <w:r>
        <w:rPr>
          <w:rFonts w:ascii="Arial" w:cs="Arial" w:eastAsia="Arial" w:hAnsi="Arial"/>
          <w:sz w:val="22"/>
          <w:szCs w:val="22"/>
        </w:rPr>
        <w:t xml:space="preserve">Do NOT buy on hype alone. The project needs liquidity and a verified audit before it is a tradeable asset with any edge.</w:t>
      </w:r>
    </w:p>
    <w:p>
      <w:pPr>
        <w:spacing w:before="60" w:after="60"/>
      </w:pPr>
      <w:r>
        <w:t xml:space="preserve"/>
      </w:r>
    </w:p>
    <w:p>
      <w:pPr>
        <w:pStyle w:val="Heading2"/>
        <w:spacing w:before="240" w:after="80"/>
      </w:pPr>
      <w:r>
        <w:rPr>
          <w:rFonts w:ascii="Arial" w:cs="Arial" w:eastAsia="Arial" w:hAnsi="Arial"/>
          <w:b/>
          <w:bCs/>
          <w:color w:val="2E86C1"/>
          <w:sz w:val="24"/>
          <w:szCs w:val="24"/>
        </w:rPr>
        <w:t xml:space="preserve">If You Are Building With / Around DJZS</w:t>
      </w:r>
    </w:p>
    <w:p>
      <w:pPr>
        <w:pStyle w:val="ListParagraph"/>
        <w:numPr>
          <w:ilvl w:val="0"/>
          <w:numId w:val="2"/>
        </w:numPr>
        <w:spacing w:before="40" w:after="40"/>
      </w:pPr>
      <w:r>
        <w:rPr>
          <w:rFonts w:ascii="Arial" w:cs="Arial" w:eastAsia="Arial" w:hAnsi="Arial"/>
          <w:sz w:val="22"/>
          <w:szCs w:val="22"/>
        </w:rPr>
        <w:t xml:space="preserve">The Avantis integration is the most concrete near-term use case — DeFi agent auditing. Build proof-of-concept demos here first.</w:t>
      </w:r>
    </w:p>
    <w:p>
      <w:pPr>
        <w:pStyle w:val="ListParagraph"/>
        <w:numPr>
          <w:ilvl w:val="0"/>
          <w:numId w:val="2"/>
        </w:numPr>
        <w:spacing w:before="40" w:after="40"/>
      </w:pPr>
      <w:r>
        <w:rPr>
          <w:rFonts w:ascii="Arial" w:cs="Arial" w:eastAsia="Arial" w:hAnsi="Arial"/>
          <w:sz w:val="22"/>
          <w:szCs w:val="22"/>
        </w:rPr>
        <w:t xml:space="preserve">Commission an independent smart contract audit immediately. For a security-focused project, an unaudited contract is a credibility liability.</w:t>
      </w:r>
    </w:p>
    <w:p>
      <w:pPr>
        <w:pStyle w:val="ListParagraph"/>
        <w:numPr>
          <w:ilvl w:val="0"/>
          <w:numId w:val="2"/>
        </w:numPr>
        <w:spacing w:before="40" w:after="40"/>
      </w:pPr>
      <w:r>
        <w:rPr>
          <w:rFonts w:ascii="Arial" w:cs="Arial" w:eastAsia="Arial" w:hAnsi="Arial"/>
          <w:sz w:val="22"/>
          <w:szCs w:val="22"/>
        </w:rPr>
        <w:t xml:space="preserve">Publish a technical whitepaper or detailed spec. Right now the GitHub README is the only documentation. This limits institutional interest.</w:t>
      </w:r>
    </w:p>
    <w:p>
      <w:pPr>
        <w:pStyle w:val="ListParagraph"/>
        <w:numPr>
          <w:ilvl w:val="0"/>
          <w:numId w:val="2"/>
        </w:numPr>
        <w:spacing w:before="40" w:after="40"/>
      </w:pPr>
      <w:r>
        <w:rPr>
          <w:rFonts w:ascii="Arial" w:cs="Arial" w:eastAsia="Arial" w:hAnsi="Arial"/>
          <w:sz w:val="22"/>
          <w:szCs w:val="22"/>
        </w:rPr>
        <w:t xml:space="preserve">Build in public — the A2A/MCP narrative is moving fast. A consistent X/Twitter presence documenting the audit-loop concept will attract the right early community.</w:t>
      </w:r>
    </w:p>
    <w:p>
      <w:pPr>
        <w:pStyle w:val="ListParagraph"/>
        <w:numPr>
          <w:ilvl w:val="0"/>
          <w:numId w:val="2"/>
        </w:numPr>
        <w:spacing w:before="40" w:after="40"/>
      </w:pPr>
      <w:r>
        <w:rPr>
          <w:rFonts w:ascii="Arial" w:cs="Arial" w:eastAsia="Arial" w:hAnsi="Arial"/>
          <w:sz w:val="22"/>
          <w:szCs w:val="22"/>
        </w:rPr>
        <w:t xml:space="preserve">Target integration with Google A2A protocol spec and Anthropic MCP as reference implementations. These are the flagship protocols with developer mindshare.</w:t>
      </w:r>
    </w:p>
    <w:p>
      <w:pPr>
        <w:spacing w:before="60" w:after="60"/>
      </w:pPr>
      <w:r>
        <w:t xml:space="preserve"/>
      </w:r>
    </w:p>
    <w:p>
      <w:pPr>
        <w:pStyle w:val="Heading1"/>
        <w:pBdr>
          <w:bottom w:val="single" w:color="2E86C1" w:sz="6" w:space="4"/>
        </w:pBdr>
        <w:spacing w:before="320" w:after="120"/>
      </w:pPr>
      <w:r>
        <w:rPr>
          <w:rFonts w:ascii="Arial" w:cs="Arial" w:eastAsia="Arial" w:hAnsi="Arial"/>
          <w:b/>
          <w:bCs/>
          <w:color w:val="1A3C5E"/>
          <w:sz w:val="28"/>
          <w:szCs w:val="28"/>
        </w:rPr>
        <w:t xml:space="preserve">Monitoring Triggers</w:t>
      </w:r>
    </w:p>
    <w:p>
      <w:pPr>
        <w:spacing w:before="60" w:after="100"/>
      </w:pPr>
      <w:r>
        <w:rPr>
          <w:rFonts w:ascii="Arial" w:cs="Arial" w:eastAsia="Arial" w:hAnsi="Arial"/>
          <w:sz w:val="22"/>
          <w:szCs w:val="22"/>
        </w:rPr>
        <w:t xml:space="preserve">Track these events as signals to reassess your position (long or short conviction):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1A3C5E"/>
                <w:sz w:val="22"/>
                <w:szCs w:val="22"/>
              </w:rPr>
              <w:t xml:space="preserve">Green Flags — Increase Conviction</w:t>
            </w:r>
          </w:p>
          <w:p>
            <w:pPr>
              <w:spacing w:before="60"/>
            </w:pPr>
            <w:r>
              <w:rPr>
                <w:rFonts w:ascii="Arial" w:cs="Arial" w:eastAsia="Arial" w:hAnsi="Arial"/>
                <w:sz w:val="22"/>
                <w:szCs w:val="22"/>
              </w:rPr>
              <w:t xml:space="preserve">Token listing on DEX/CEX with real liquidity  •  Smart contract audit published  •  Formal whitepaper release  •  Partnership with A2A/MCP protocol team  •  Community exceeds 1,000 active members  •  Avantis integration live on mainnet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r>
              <w:rPr>
                <w:rFonts w:ascii="Arial" w:cs="Arial" w:eastAsia="Arial" w:hAnsi="Arial"/>
                <w:b/>
                <w:bCs/>
                <w:color w:val="1A3C5E"/>
                <w:sz w:val="22"/>
                <w:szCs w:val="22"/>
              </w:rPr>
              <w:t xml:space="preserve">Red Flags — Reduce or Exit</w:t>
            </w:r>
          </w:p>
          <w:p>
            <w:pPr>
              <w:spacing w:before="60"/>
            </w:pPr>
            <w:r>
              <w:rPr>
                <w:rFonts w:ascii="Arial" w:cs="Arial" w:eastAsia="Arial" w:hAnsi="Arial"/>
                <w:sz w:val="22"/>
                <w:szCs w:val="22"/>
              </w:rPr>
              <w:t xml:space="preserve">No material update within 90 days  •  Team dox reveals no credible background  •  Smart contract exploit or vulnerability  •  Competitor ships equivalent product first  •  Token launch with predatory tokenomics (&gt;50% team/insider allocation)</w:t>
            </w:r>
          </w:p>
        </w:tc>
      </w:tr>
    </w:tbl>
    <w:p>
      <w:pPr>
        <w:spacing w:before="60" w:after="60"/>
      </w:pPr>
      <w:r>
        <w:t xml:space="preserve"/>
      </w:r>
    </w:p>
    <w:p>
      <w:pPr>
        <w:pStyle w:val="Heading1"/>
        <w:pBdr>
          <w:bottom w:val="single" w:color="2E86C1" w:sz="6" w:space="4"/>
        </w:pBdr>
        <w:spacing w:before="320" w:after="120"/>
      </w:pPr>
      <w:r>
        <w:rPr>
          <w:rFonts w:ascii="Arial" w:cs="Arial" w:eastAsia="Arial" w:hAnsi="Arial"/>
          <w:b/>
          <w:bCs/>
          <w:color w:val="1A3C5E"/>
          <w:sz w:val="28"/>
          <w:szCs w:val="28"/>
        </w:rPr>
        <w:t xml:space="preserve">Conclusion</w:t>
      </w:r>
    </w:p>
    <w:p>
      <w:pPr>
        <w:spacing w:before="60" w:after="100"/>
      </w:pPr>
      <w:r>
        <w:rPr>
          <w:rFonts w:ascii="Arial" w:cs="Arial" w:eastAsia="Arial" w:hAnsi="Arial"/>
          <w:sz w:val="22"/>
          <w:szCs w:val="22"/>
        </w:rPr>
        <w:t xml:space="preserve">DJZS occupies a genuinely interesting position in an emerging and important sector. The problem it targets — adversarial verification for autonomous AI agents — is real, validated by independent research, and likely to become a critical infrastructure need as the agentic economy scales.</w:t>
      </w:r>
    </w:p>
    <w:p>
      <w:pPr>
        <w:spacing w:before="60" w:after="60"/>
      </w:pPr>
      <w:r>
        <w:t xml:space="preserve"/>
      </w:r>
    </w:p>
    <w:p>
      <w:pPr>
        <w:spacing w:before="60" w:after="100"/>
      </w:pPr>
      <w:r>
        <w:rPr>
          <w:rFonts w:ascii="Arial" w:cs="Arial" w:eastAsia="Arial" w:hAnsi="Arial"/>
          <w:sz w:val="22"/>
          <w:szCs w:val="22"/>
        </w:rPr>
        <w:t xml:space="preserve">The project is, however, extremely early. It has the bones of a real technical effort but lacks the community, liquidity, auditing, and documentation needed to be a high-confidence bet. The strategy, therefore, is not to ignore it — it is to monitor it closely, set clear entry triggers, and deploy with strict position sizing discipline if and when those triggers are met.</w:t>
      </w:r>
    </w:p>
    <w:p>
      <w:pPr>
        <w:spacing w:before="60" w:after="60"/>
      </w:pPr>
      <w:r>
        <w:t xml:space="preserve"/>
      </w:r>
    </w:p>
    <w:p>
      <w:pPr>
        <w:spacing w:before="60" w:after="100"/>
      </w:pPr>
      <w:r>
        <w:rPr>
          <w:rFonts w:ascii="Arial" w:cs="Arial" w:eastAsia="Arial" w:hAnsi="Arial"/>
          <w:sz w:val="22"/>
          <w:szCs w:val="22"/>
        </w:rPr>
        <w:t xml:space="preserve">The worst outcome would be deploying capital based on the narrative alone, without waiting for verifiable proof points. The best outcome is being positioned before the market discovers this sector — but only if you can stomach the time and capital risk that comes with being early.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A3C5E"/>
                <w:sz w:val="22"/>
                <w:szCs w:val="22"/>
              </w:rPr>
              <w:t xml:space="preserve">Final Verdict</w:t>
            </w:r>
          </w:p>
          <w:p>
            <w:pPr>
              <w:spacing w:before="60"/>
            </w:pPr>
            <w:r>
              <w:rPr>
                <w:rFonts w:ascii="Arial" w:cs="Arial" w:eastAsia="Arial" w:hAnsi="Arial"/>
                <w:sz w:val="22"/>
                <w:szCs w:val="22"/>
              </w:rPr>
              <w:t xml:space="preserve">Watch closely. Do not trade yet. Set your triggers. Build the thesis before you build the position.</w:t>
            </w:r>
          </w:p>
        </w:tc>
      </w:tr>
    </w:tbl>
    <w:p>
      <w:pPr>
        <w:spacing w:before="60" w:after="60"/>
      </w:pPr>
      <w:r>
        <w:t xml:space="preserve"/>
      </w:r>
    </w:p>
    <w:p>
      <w:pPr>
        <w:spacing w:before="400"/>
        <w:jc w:val="center"/>
      </w:pPr>
      <w:r>
        <w:rPr>
          <w:rFonts w:ascii="Arial" w:cs="Arial" w:eastAsia="Arial" w:hAnsi="Arial"/>
          <w:i/>
          <w:iCs/>
          <w:color w:val="7F8C8D"/>
          <w:sz w:val="18"/>
          <w:szCs w:val="18"/>
        </w:rPr>
        <w:t xml:space="preserve">— End of Memo —</w:t>
      </w:r>
    </w:p>
    <w:p>
      <w:pPr>
        <w:spacing w:before="60"/>
        <w:jc w:val="center"/>
      </w:pPr>
      <w:r>
        <w:rPr>
          <w:rFonts w:ascii="Arial" w:cs="Arial" w:eastAsia="Arial" w:hAnsi="Arial"/>
          <w:i/>
          <w:iCs/>
          <w:color w:val="7F8C8D"/>
          <w:sz w:val="16"/>
          <w:szCs w:val="16"/>
        </w:rPr>
        <w:t xml:space="preserve">This memo is for informational purposes only and does not constitute financial advice.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DJZS Strategy Memo — Confidential  |  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2026-03-01T00:15:09.793Z</dcterms:created>
  <dcterms:modified xsi:type="dcterms:W3CDTF">2026-03-01T00:15:09.794Z</dcterms:modified>
</cp:coreProperties>
</file>

<file path=docProps/custom.xml><?xml version="1.0" encoding="utf-8"?>
<Properties xmlns="http://schemas.openxmlformats.org/officeDocument/2006/custom-properties" xmlns:vt="http://schemas.openxmlformats.org/officeDocument/2006/docPropsVTypes"/>
</file>