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80"/>
        <w:jc w:val="left"/>
      </w:pPr>
      <w:r>
        <w:rPr>
          <w:rFonts w:ascii="Arial" w:cs="Arial" w:eastAsia="Arial" w:hAnsi="Arial"/>
          <w:b/>
          <w:bCs/>
          <w:color w:val="0D1B2A"/>
          <w:sz w:val="52"/>
          <w:szCs w:val="52"/>
        </w:rPr>
        <w:t xml:space="preserve">BROADBAND PARTNER</w:t>
      </w:r>
    </w:p>
    <w:p>
      <w:pPr>
        <w:spacing w:after="80"/>
        <w:jc w:val="left"/>
      </w:pPr>
      <w:r>
        <w:rPr>
          <w:rFonts w:ascii="Arial" w:cs="Arial" w:eastAsia="Arial" w:hAnsi="Arial"/>
          <w:b/>
          <w:bCs/>
          <w:color w:val="0D1B2A"/>
          <w:sz w:val="52"/>
          <w:szCs w:val="52"/>
        </w:rPr>
        <w:t xml:space="preserve">INTELLIGENCE PLATFORM</w:t>
      </w:r>
    </w:p>
    <w:p>
      <w:pPr>
        <w:pBdr>
          <w:bottom w:val="single" w:color="2A9D8F" w:sz="8" w:space="1"/>
        </w:pBdr>
        <w:spacing w:after="40"/>
        <w:jc w:val="left"/>
      </w:pPr>
    </w:p>
    <w:p>
      <w:pPr>
        <w:spacing w:before="80" w:after="80"/>
      </w:pPr>
    </w:p>
    <w:p>
      <w:pPr>
        <w:spacing w:after="60"/>
        <w:jc w:val="left"/>
      </w:pPr>
      <w:r>
        <w:rPr>
          <w:rFonts w:ascii="Arial" w:cs="Arial" w:eastAsia="Arial" w:hAnsi="Arial"/>
          <w:i/>
          <w:iCs/>
          <w:color w:val="555555"/>
          <w:sz w:val="28"/>
          <w:szCs w:val="28"/>
        </w:rPr>
        <w:t xml:space="preserve">A Strategic Operating System for ISPN’s Next Growth Phase</w:t>
      </w:r>
    </w:p>
    <w:p>
      <w:pPr>
        <w:spacing w:before="600" w:after="600"/>
      </w:pPr>
    </w:p>
    <w:p>
      <w:r>
        <w:rPr>
          <w:rFonts w:ascii="Arial" w:cs="Arial" w:eastAsia="Arial" w:hAnsi="Arial"/>
          <w:b/>
          <w:bCs/>
          <w:color w:val="0D1B2A"/>
          <w:sz w:val="24"/>
          <w:szCs w:val="24"/>
        </w:rPr>
        <w:t xml:space="preserve">Pete Connor</w:t>
      </w:r>
    </w:p>
    <w:p>
      <w:pPr>
        <w:spacing w:after="60"/>
      </w:pPr>
      <w:r>
        <w:rPr>
          <w:rFonts w:ascii="Arial" w:cs="Arial" w:eastAsia="Arial" w:hAnsi="Arial"/>
          <w:color w:val="555555"/>
          <w:sz w:val="22"/>
          <w:szCs w:val="22"/>
        </w:rPr>
        <w:t xml:space="preserve">Director, Technical Center Operations</w:t>
      </w:r>
    </w:p>
    <w:p>
      <w:pPr>
        <w:spacing w:before="120" w:after="120"/>
      </w:pPr>
    </w:p>
    <w:p>
      <w:r>
        <w:rPr>
          <w:rFonts w:ascii="Arial" w:cs="Arial" w:eastAsia="Arial" w:hAnsi="Arial"/>
          <w:color w:val="555555"/>
          <w:sz w:val="20"/>
          <w:szCs w:val="20"/>
        </w:rPr>
        <w:t xml:space="preserve">Original Concept: </w:t>
      </w:r>
      <w:r>
        <w:rPr>
          <w:rFonts w:ascii="Arial" w:cs="Arial" w:eastAsia="Arial" w:hAnsi="Arial"/>
          <w:b/>
          <w:bCs/>
          <w:color w:val="2A9D8F"/>
          <w:sz w:val="20"/>
          <w:szCs w:val="20"/>
        </w:rPr>
        <w:t xml:space="preserve">December 2025 Idea Tank — Award Winner</w:t>
      </w:r>
    </w:p>
    <w:p>
      <w:pPr>
        <w:spacing w:after="60"/>
      </w:pPr>
      <w:r>
        <w:rPr>
          <w:rFonts w:ascii="Arial" w:cs="Arial" w:eastAsia="Arial" w:hAnsi="Arial"/>
          <w:color w:val="555555"/>
          <w:sz w:val="20"/>
          <w:szCs w:val="20"/>
        </w:rPr>
        <w:t>Strategic Expansion: February 2026</w:t>
      </w:r>
    </w:p>
    <w:p>
      <w:r>
        <w:br w:type="page"/>
      </w:r>
    </w:p>
    <w:p>
      <w:pPr>
        <w:pBdr>
          <w:bottom w:val="single" w:color="2A9D8F" w:sz="4" w:space="8"/>
        </w:pBdr>
        <w:spacing w:before="200" w:after="300"/>
      </w:pPr>
      <w:r>
        <w:rPr>
          <w:rFonts w:ascii="Arial" w:cs="Arial" w:eastAsia="Arial" w:hAnsi="Arial"/>
          <w:b/>
          <w:bCs/>
          <w:color w:val="0D1B2A"/>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A9D8F" w:sz="6" w:space="8"/>
        </w:pBdr>
        <w:spacing w:before="360" w:after="200"/>
      </w:pPr>
      <w:r>
        <w:rPr>
          <w:rFonts w:ascii="Arial" w:cs="Arial" w:eastAsia="Arial" w:hAnsi="Arial"/>
          <w:b/>
          <w:bCs/>
          <w:color w:val="0D1B2A"/>
          <w:sz w:val="32"/>
          <w:szCs w:val="32"/>
        </w:rPr>
        <w:t xml:space="preserve">PART I: THE STRATEGIC THESIS</w:t>
      </w:r>
    </w:p>
    <w:p>
      <w:pPr>
        <w:pStyle w:val="Heading2"/>
        <w:spacing w:before="280" w:after="160"/>
      </w:pPr>
      <w:r>
        <w:rPr>
          <w:rFonts w:ascii="Arial" w:cs="Arial" w:eastAsia="Arial" w:hAnsi="Arial"/>
          <w:b/>
          <w:bCs/>
          <w:color w:val="1B2838"/>
          <w:sz w:val="26"/>
          <w:szCs w:val="26"/>
        </w:rPr>
        <w:t xml:space="preserve">What This Is</w:t>
      </w:r>
    </w:p>
    <w:p>
      <w:pPr>
        <w:spacing w:after="160" w:line="276"/>
      </w:pPr>
      <w:r>
        <w:rPr>
          <w:rFonts w:ascii="Arial" w:cs="Arial" w:eastAsia="Arial" w:hAnsi="Arial"/>
          <w:color w:val="333333"/>
          <w:sz w:val="21"/>
          <w:szCs w:val="21"/>
        </w:rPr>
        <w:t xml:space="preserve">This is not a prospecting tool. This is a proposal to transform ISPN from a company that waits for partnership opportunities into one that manufactures them.</w:t>
      </w:r>
    </w:p>
    <w:p>
      <w:pPr>
        <w:spacing w:after="160" w:line="276"/>
      </w:pPr>
      <w:r>
        <w:rPr>
          <w:rFonts w:ascii="Arial" w:cs="Arial" w:eastAsia="Arial" w:hAnsi="Arial"/>
          <w:color w:val="333333"/>
          <w:sz w:val="21"/>
          <w:szCs w:val="21"/>
        </w:rPr>
        <w:t xml:space="preserve">The United States is in the middle of the largest broadband infrastructure investment in its history. The BEAD program alone has allocated $42.45 billion across 56 states and territories. USDA’s ReConnect program has invested $5.5 billion across 360+ awards. State-level broadband programs add billions more. Private equity and venture capital are pouring money into regional fiber builders. Rural electric cooperatives are becoming ISPs overnight.</w:t>
      </w:r>
    </w:p>
    <w:p>
      <w:pPr>
        <w:spacing w:after="160" w:line="276"/>
      </w:pPr>
      <w:r>
        <w:rPr>
          <w:rFonts w:ascii="Arial" w:cs="Arial" w:eastAsia="Arial" w:hAnsi="Arial"/>
          <w:color w:val="333333"/>
          <w:sz w:val="21"/>
          <w:szCs w:val="21"/>
        </w:rPr>
        <w:t xml:space="preserve">Every one of these funded ISPs needs operational infrastructure they don’t have: customer support, network operations, BSS/OSS platforms, compliance reporting, subscriber management. They need what ISPN sells.</w:t>
      </w:r>
    </w:p>
    <w:p>
      <w:pPr>
        <w:spacing w:after="160" w:line="276"/>
      </w:pPr>
      <w:r>
        <w:rPr>
          <w:rFonts w:ascii="Arial" w:cs="Arial" w:eastAsia="Arial" w:hAnsi="Arial"/>
          <w:color w:val="333333"/>
          <w:sz w:val="21"/>
          <w:szCs w:val="21"/>
        </w:rPr>
        <w:t xml:space="preserve">The problem isn’t that these prospects don’t exist. It’s that ISPN — and every other managed services BPO — discovers them the same way: word of mouth, conference networking, inbound RFPs, and luck. That approach worked when the addressable market was stable. It doesn’t work when hundreds of new ISPs are being created simultaneously by federal funding, each on a different timeline, each with different operational gaps, each racing a deployment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9D8F"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color w:val="0D1B2A"/>
                <w:sz w:val="21"/>
                <w:szCs w:val="21"/>
              </w:rPr>
              <w:t xml:space="preserve">The Broadband Partner Intelligence Platform </w:t>
            </w:r>
            <w:r>
              <w:rPr>
                <w:rFonts w:ascii="Arial" w:cs="Arial" w:eastAsia="Arial" w:hAnsi="Arial"/>
                <w:color w:val="333333"/>
                <w:sz w:val="21"/>
                <w:szCs w:val="21"/>
              </w:rPr>
              <w:t xml:space="preserve">replaces luck with system. It continuously monitors the entire broadband funding ecosystem, models the operational readiness of every funded ISP, predicts when each one will need external support, and delivers the right intelligence to the right person at ISPN at the right moment.</w:t>
            </w:r>
          </w:p>
        </w:tc>
      </w:tr>
    </w:tbl>
    <w:p>
      <w:pPr>
        <w:spacing w:after="160" w:line="276"/>
      </w:pPr>
      <w:r>
        <w:rPr>
          <w:rFonts w:ascii="Arial" w:cs="Arial" w:eastAsia="Arial" w:hAnsi="Arial"/>
          <w:color w:val="333333"/>
          <w:sz w:val="21"/>
          <w:szCs w:val="21"/>
        </w:rPr>
        <w:t xml:space="preserve">This is the difference between fishing with a rod and mapping the ocean.</w:t>
      </w:r>
    </w:p>
    <w:p>
      <w:pPr>
        <w:pStyle w:val="Heading2"/>
        <w:spacing w:before="280" w:after="160"/>
      </w:pPr>
      <w:r>
        <w:rPr>
          <w:rFonts w:ascii="Arial" w:cs="Arial" w:eastAsia="Arial" w:hAnsi="Arial"/>
          <w:b/>
          <w:bCs/>
          <w:color w:val="1B2838"/>
          <w:sz w:val="26"/>
          <w:szCs w:val="26"/>
        </w:rPr>
        <w:t xml:space="preserve">Why Now — The Window</w:t>
      </w:r>
    </w:p>
    <w:p>
      <w:pPr>
        <w:spacing w:after="160" w:line="276"/>
      </w:pPr>
      <w:r>
        <w:rPr>
          <w:rFonts w:ascii="Arial" w:cs="Arial" w:eastAsia="Arial" w:hAnsi="Arial"/>
          <w:color w:val="333333"/>
          <w:sz w:val="21"/>
          <w:szCs w:val="21"/>
        </w:rPr>
        <w:t xml:space="preserve">The timing isn’t just good. It’s non-negotiable.</w:t>
      </w:r>
    </w:p>
    <w:p>
      <w:pPr>
        <w:spacing w:after="160" w:line="276"/>
      </w:pPr>
      <w:r>
        <w:rPr>
          <w:rFonts w:ascii="Arial" w:cs="Arial" w:eastAsia="Arial" w:hAnsi="Arial"/>
          <w:color w:val="333333"/>
          <w:sz w:val="21"/>
          <w:szCs w:val="21"/>
        </w:rPr>
        <w:t xml:space="preserve">BEAD construction runs from 2026 through 2030. Most subgrants are being awarded now through 2027. The ISPs that won these awards are hiring, permitting, and breaking ground. Their subscriber bases will begin growing materially in 2026–2027. The operational pain hits 9–14 months after construction starts — which means the decision to outsource managed services happens in 2027–2028 for the early movers.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1B2A"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color w:val="0D1B2A"/>
                <w:sz w:val="21"/>
                <w:szCs w:val="21"/>
              </w:rPr>
              <w:t xml:space="preserve">The managed services provider that has relationships in place before that pain hits wins. The one that shows up afterward competes on price.</w:t>
            </w:r>
          </w:p>
          <w:p>
            <w:pPr>
              <w:spacing w:after="80" w:line="276"/>
            </w:pPr>
            <w:r>
              <w:rPr>
                <w:rFonts w:ascii="Arial" w:cs="Arial" w:eastAsia="Arial" w:hAnsi="Arial"/>
                <w:i/>
                <w:iCs/>
                <w:color w:val="555555"/>
                <w:sz w:val="21"/>
                <w:szCs w:val="21"/>
              </w:rPr>
              <w:t xml:space="preserve">Every month ISPN waits is a month where a competitor is having the first conversation.</w:t>
            </w:r>
          </w:p>
        </w:tc>
      </w:tr>
    </w:tbl>
    <w:p>
      <w:pPr>
        <w:pStyle w:val="Heading2"/>
        <w:spacing w:before="280" w:after="160"/>
      </w:pPr>
      <w:r>
        <w:rPr>
          <w:rFonts w:ascii="Arial" w:cs="Arial" w:eastAsia="Arial" w:hAnsi="Arial"/>
          <w:b/>
          <w:bCs/>
          <w:color w:val="1B2838"/>
          <w:sz w:val="26"/>
          <w:szCs w:val="26"/>
        </w:rPr>
        <w:t xml:space="preserve">Five Capabilities That Don’t Exist Anywhere Else</w:t>
      </w:r>
    </w:p>
    <w:p>
      <w:pPr>
        <w:spacing w:after="160" w:line="276"/>
      </w:pPr>
      <w:r>
        <w:rPr>
          <w:rFonts w:ascii="Arial" w:cs="Arial" w:eastAsia="Arial" w:hAnsi="Arial"/>
          <w:b/>
          <w:bCs/>
          <w:color w:val="0D1B2A"/>
          <w:sz w:val="21"/>
          <w:szCs w:val="21"/>
        </w:rPr>
        <w:t xml:space="preserve">1. It sees prospects before they know they’re prospects.</w:t>
      </w:r>
      <w:r>
        <w:rPr>
          <w:rFonts w:ascii="Arial" w:cs="Arial" w:eastAsia="Arial" w:hAnsi="Arial"/>
          <w:color w:val="333333"/>
          <w:sz w:val="21"/>
          <w:szCs w:val="21"/>
        </w:rPr>
        <w:t xml:space="preserve"> By tracking BEAD applications, state broadband office filings, and FCC data, the platform identifies ISPs in the pipeline months before awards are announced and years before they start looking for managed services partners.</w:t>
      </w:r>
    </w:p>
    <w:p>
      <w:pPr>
        <w:spacing w:after="160" w:line="276"/>
      </w:pPr>
      <w:r>
        <w:rPr>
          <w:rFonts w:ascii="Arial" w:cs="Arial" w:eastAsia="Arial" w:hAnsi="Arial"/>
          <w:b/>
          <w:bCs/>
          <w:color w:val="0D1B2A"/>
          <w:sz w:val="21"/>
          <w:szCs w:val="21"/>
        </w:rPr>
        <w:t xml:space="preserve">2. It predicts operational breaking points.</w:t>
      </w:r>
      <w:r>
        <w:rPr>
          <w:rFonts w:ascii="Arial" w:cs="Arial" w:eastAsia="Arial" w:hAnsi="Arial"/>
          <w:color w:val="333333"/>
          <w:sz w:val="21"/>
          <w:szCs w:val="21"/>
        </w:rPr>
        <w:t xml:space="preserve"> The Operational Strain Model doesn’t just rank prospects by funding size. It models when each ISP will cross the threshold where internal resources fail — using growth velocity, organizational maturity, technology complexity, workforce signals, and deployment timeline pressure.</w:t>
      </w:r>
    </w:p>
    <w:p>
      <w:pPr>
        <w:spacing w:after="160" w:line="276"/>
      </w:pPr>
      <w:r>
        <w:rPr>
          <w:rFonts w:ascii="Arial" w:cs="Arial" w:eastAsia="Arial" w:hAnsi="Arial"/>
          <w:b/>
          <w:bCs/>
          <w:color w:val="0D1B2A"/>
          <w:sz w:val="21"/>
          <w:szCs w:val="21"/>
        </w:rPr>
        <w:t xml:space="preserve">3. It protects existing partnerships.</w:t>
      </w:r>
      <w:r>
        <w:rPr>
          <w:rFonts w:ascii="Arial" w:cs="Arial" w:eastAsia="Arial" w:hAnsi="Arial"/>
          <w:color w:val="333333"/>
          <w:sz w:val="21"/>
          <w:szCs w:val="21"/>
        </w:rPr>
        <w:t xml:space="preserve"> The same strain signals that identify new prospects also monitor current ISPN partners. The platform would have detected LigTel’s trajectory toward termination months before the formal request.</w:t>
      </w:r>
    </w:p>
    <w:p>
      <w:pPr>
        <w:spacing w:after="160" w:line="276"/>
      </w:pPr>
      <w:r>
        <w:rPr>
          <w:rFonts w:ascii="Arial" w:cs="Arial" w:eastAsia="Arial" w:hAnsi="Arial"/>
          <w:b/>
          <w:bCs/>
          <w:color w:val="0D1B2A"/>
          <w:sz w:val="21"/>
          <w:szCs w:val="21"/>
        </w:rPr>
        <w:t xml:space="preserve">4. It compounds intelligence over time.</w:t>
      </w:r>
      <w:r>
        <w:rPr>
          <w:rFonts w:ascii="Arial" w:cs="Arial" w:eastAsia="Arial" w:hAnsi="Arial"/>
          <w:color w:val="333333"/>
          <w:sz w:val="21"/>
          <w:szCs w:val="21"/>
        </w:rPr>
        <w:t xml:space="preserve"> Every outreach, every conversion, every loss feeds data back into the model. A competitor who starts building something similar in 2027 faces a two-year intelligence deficit they cannot close by hiring more salespeople.</w:t>
      </w:r>
    </w:p>
    <w:p>
      <w:pPr>
        <w:spacing w:after="160" w:line="276"/>
      </w:pPr>
      <w:r>
        <w:rPr>
          <w:rFonts w:ascii="Arial" w:cs="Arial" w:eastAsia="Arial" w:hAnsi="Arial"/>
          <w:b/>
          <w:bCs/>
          <w:color w:val="0D1B2A"/>
          <w:sz w:val="21"/>
          <w:szCs w:val="21"/>
        </w:rPr>
        <w:t xml:space="preserve">5. It integrates across every ISPN department.</w:t>
      </w:r>
      <w:r>
        <w:rPr>
          <w:rFonts w:ascii="Arial" w:cs="Arial" w:eastAsia="Arial" w:hAnsi="Arial"/>
          <w:color w:val="333333"/>
          <w:sz w:val="21"/>
          <w:szCs w:val="21"/>
        </w:rPr>
        <w:t xml:space="preserve"> This isn’t a Sales tool that sits in a silo. It feeds capacity planning data to the Tech Center, revenue forecasts to Finance, competitive intelligence to Executive Leadership, and hiring signals to HR.</w:t>
      </w:r>
    </w:p>
    <w:p>
      <w:r>
        <w:br w:type="page"/>
      </w:r>
    </w:p>
    <w:p>
      <w:pPr>
        <w:pStyle w:val="Heading1"/>
        <w:pBdr>
          <w:bottom w:val="single" w:color="2A9D8F" w:sz="6" w:space="8"/>
        </w:pBdr>
        <w:spacing w:before="360" w:after="200"/>
      </w:pPr>
      <w:r>
        <w:rPr>
          <w:rFonts w:ascii="Arial" w:cs="Arial" w:eastAsia="Arial" w:hAnsi="Arial"/>
          <w:b/>
          <w:bCs/>
          <w:color w:val="0D1B2A"/>
          <w:sz w:val="32"/>
          <w:szCs w:val="32"/>
        </w:rPr>
        <w:t xml:space="preserve">PART II: THE TEN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D1B2A"/>
                <w:sz w:val="20"/>
                <w:szCs w:val="20"/>
              </w:rPr>
              <w:t xml:space="preserve">Funding Intelligence Engine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333333"/>
                <w:sz w:val="20"/>
                <w:szCs w:val="20"/>
              </w:rPr>
              <w:t xml:space="preserve">Comprehensive database of 500–800+ funded ISPs across all federal, state, and private sources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Company Intelligence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Enriched organizational profiles with leadership maps, technology footprints, and contact data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D1B2A"/>
                <w:sz w:val="20"/>
                <w:szCs w:val="20"/>
              </w:rPr>
              <w:t xml:space="preserve">Operational Strain Prediction Engine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333333"/>
                <w:sz w:val="20"/>
                <w:szCs w:val="20"/>
              </w:rPr>
              <w:t xml:space="preserve">Six-factor model predicting when each ISP will need external operational support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Competitive Landscape 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Network graph of competitor partnerships, white space identification, and displacement signals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D1B2A"/>
                <w:sz w:val="20"/>
                <w:szCs w:val="20"/>
              </w:rPr>
              <w:t xml:space="preserve">Engagement Orchestration Engine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333333"/>
                <w:sz w:val="20"/>
                <w:szCs w:val="20"/>
              </w:rPr>
              <w:t xml:space="preserve">Contextual outreach briefs, channel optimization, timing triggers, and conference strategy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Partner Lifecycle Intelligence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Health scoring, churn prediction, expansion detection, and onboarding playbooks for existing partners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D1B2A"/>
                <w:sz w:val="20"/>
                <w:szCs w:val="20"/>
              </w:rPr>
              <w:t xml:space="preserve">Capacity Planning Bridge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333333"/>
                <w:sz w:val="20"/>
                <w:szCs w:val="20"/>
              </w:rPr>
              <w:t xml:space="preserve">Pipeline-to-operations signal connecting market intelligence to workforce readiness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Financial Intelligence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Dynamic contract value modeling, cost-to-serve estimation, and portfolio diversification analysis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D1B2A"/>
                <w:sz w:val="20"/>
                <w:szCs w:val="20"/>
              </w:rPr>
              <w:t xml:space="preserve">Regulatory &amp; Compliance Intelligence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333333"/>
                <w:sz w:val="20"/>
                <w:szCs w:val="20"/>
              </w:rPr>
              <w:t xml:space="preserve">BEAD compliance tracking and positioning ISPN services as compliance infrastructure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A9D8F"/>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The Flywheel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333333"/>
                <w:sz w:val="20"/>
                <w:szCs w:val="20"/>
              </w:rPr>
              <w:t xml:space="preserve">Feedback loops that make the entire system measurably smarter every quarter</w:t>
            </w:r>
          </w:p>
        </w:tc>
      </w:tr>
    </w:tbl>
    <w:p>
      <w:pPr>
        <w:spacing w:before="200" w:after="200"/>
      </w:pPr>
    </w:p>
    <w:p>
      <w:pPr>
        <w:pStyle w:val="Heading2"/>
        <w:spacing w:before="280" w:after="160"/>
      </w:pPr>
      <w:r>
        <w:rPr>
          <w:rFonts w:ascii="Arial" w:cs="Arial" w:eastAsia="Arial" w:hAnsi="Arial"/>
          <w:b/>
          <w:bCs/>
          <w:color w:val="1B2838"/>
          <w:sz w:val="26"/>
          <w:szCs w:val="26"/>
        </w:rPr>
        <w:t xml:space="preserve">Module 1: Funding Intelligence Engine</w:t>
      </w:r>
    </w:p>
    <w:p>
      <w:pPr>
        <w:spacing w:after="160" w:line="276"/>
      </w:pPr>
      <w:r>
        <w:rPr>
          <w:rFonts w:ascii="Arial" w:cs="Arial" w:eastAsia="Arial" w:hAnsi="Arial"/>
          <w:color w:val="333333"/>
          <w:sz w:val="21"/>
          <w:szCs w:val="21"/>
        </w:rPr>
        <w:t xml:space="preserve">The original proposal tracked 10 ISPs with $2.2B in BEAD funding. The platform tracks the entire ecosystem — every federal, state, and private funding source creating new broadband operators.</w:t>
      </w:r>
    </w:p>
    <w:p>
      <w:pPr>
        <w:pStyle w:val="Heading3"/>
        <w:spacing w:before="200" w:after="120"/>
      </w:pPr>
      <w:r>
        <w:rPr>
          <w:rFonts w:ascii="Arial" w:cs="Arial" w:eastAsia="Arial" w:hAnsi="Arial"/>
          <w:b/>
          <w:bCs/>
          <w:color w:val="2A9D8F"/>
          <w:sz w:val="22"/>
          <w:szCs w:val="22"/>
        </w:rPr>
        <w:t xml:space="preserve">Data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960"/>
      </w:tblGrid>
      <w:tr>
        <w:tc>
          <w:tcPr>
            <w:tcW w:type="dxa" w:w="20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18"/>
                <w:szCs w:val="18"/>
              </w:rPr>
              <w:t xml:space="preserve">FUNDING</w:t>
            </w:r>
          </w:p>
        </w:tc>
        <w:tc>
          <w:tcPr>
            <w:tcW w:type="dxa" w:w="22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39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bCs/>
                <w:color w:val="0D1B2A"/>
                <w:sz w:val="19"/>
                <w:szCs w:val="19"/>
              </w:rPr>
              <w:t xml:space="preserve">BEAD Program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$42.45B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56 states/territories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50 of 56 approved; construction 2026–2030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bCs/>
                <w:color w:val="0D1B2A"/>
                <w:sz w:val="19"/>
                <w:szCs w:val="19"/>
              </w:rPr>
              <w:t xml:space="preserve">USDA ReConnect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$5.5B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360+ awards, 5 rounds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Recipient data in public searchable map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bCs/>
                <w:color w:val="0D1B2A"/>
                <w:sz w:val="19"/>
                <w:szCs w:val="19"/>
              </w:rPr>
              <w:t xml:space="preserve">State Broadband Programs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Varies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100–200+ unique ISPs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CASF (CA), GREAT (NC), TX broadband office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bCs/>
                <w:color w:val="0D1B2A"/>
                <w:sz w:val="19"/>
                <w:szCs w:val="19"/>
              </w:rPr>
              <w:t xml:space="preserve">Private Capital (PE/VC)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Billions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50–100 companies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Accelerated timelines, outsource-first model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bCs/>
                <w:color w:val="0D1B2A"/>
                <w:sz w:val="19"/>
                <w:szCs w:val="19"/>
              </w:rPr>
              <w:t xml:space="preserve">Rural Electric Co-ops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Varies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100–200 co-op ISPs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Zero telecom experience; highest conversion probability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bCs/>
                <w:color w:val="0D1B2A"/>
                <w:sz w:val="19"/>
                <w:szCs w:val="19"/>
              </w:rPr>
              <w:t xml:space="preserve">E-Rate &amp; Tribal Programs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Varies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Schools, libraries, tribal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Extreme operational challenges in remote areas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9D8F"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color w:val="0D1B2A"/>
                <w:sz w:val="21"/>
                <w:szCs w:val="21"/>
              </w:rPr>
              <w:t xml:space="preserve">Output: </w:t>
            </w:r>
            <w:r>
              <w:rPr>
                <w:rFonts w:ascii="Arial" w:cs="Arial" w:eastAsia="Arial" w:hAnsi="Arial"/>
                <w:color w:val="333333"/>
                <w:sz w:val="21"/>
                <w:szCs w:val="21"/>
              </w:rPr>
              <w:t xml:space="preserve">A normalized master database of 500–800+ funded ISPs, updated weekly, filtered to exclude major carriers. Each record includes funding source, award amount, technology type, service area, deployment timeline, and status.</w:t>
            </w:r>
          </w:p>
        </w:tc>
      </w:tr>
    </w:tbl>
    <w:p>
      <w:pPr>
        <w:pStyle w:val="Heading2"/>
        <w:spacing w:before="280" w:after="160"/>
      </w:pPr>
      <w:r>
        <w:rPr>
          <w:rFonts w:ascii="Arial" w:cs="Arial" w:eastAsia="Arial" w:hAnsi="Arial"/>
          <w:b/>
          <w:bCs/>
          <w:color w:val="1B2838"/>
          <w:sz w:val="26"/>
          <w:szCs w:val="26"/>
        </w:rPr>
        <w:t xml:space="preserve">Module 2: Company Intelligence Layer</w:t>
      </w:r>
    </w:p>
    <w:p>
      <w:pPr>
        <w:spacing w:after="160" w:line="276"/>
      </w:pPr>
      <w:r>
        <w:rPr>
          <w:rFonts w:ascii="Arial" w:cs="Arial" w:eastAsia="Arial" w:hAnsi="Arial"/>
          <w:color w:val="333333"/>
          <w:sz w:val="21"/>
          <w:szCs w:val="21"/>
        </w:rPr>
        <w:t xml:space="preserve">For each ISP in the master database, this layer assembles a complete organizational profile from public sources: company age, ownership structure, current subscriber estimate, leadership team, technology footprint, financial indicators, digital presence, and verified contact paths.</w:t>
      </w:r>
    </w:p>
    <w:p>
      <w:pPr>
        <w:pStyle w:val="Heading3"/>
        <w:spacing w:before="200" w:after="120"/>
      </w:pPr>
      <w:r>
        <w:rPr>
          <w:rFonts w:ascii="Arial" w:cs="Arial" w:eastAsia="Arial" w:hAnsi="Arial"/>
          <w:b/>
          <w:bCs/>
          <w:color w:val="2A9D8F"/>
          <w:sz w:val="22"/>
          <w:szCs w:val="22"/>
        </w:rPr>
        <w:t xml:space="preserve">Contact Enrichment — Honest Numbers</w:t>
      </w:r>
    </w:p>
    <w:p>
      <w:pPr>
        <w:spacing w:after="160" w:line="276"/>
      </w:pPr>
      <w:r>
        <w:rPr>
          <w:rFonts w:ascii="Arial" w:cs="Arial" w:eastAsia="Arial" w:hAnsi="Arial"/>
          <w:color w:val="333333"/>
          <w:sz w:val="21"/>
          <w:szCs w:val="21"/>
        </w:rPr>
        <w:t xml:space="preserve">The original proposal claimed 90%+ contact accuracy. The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Verified executive email (website/press)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D1B2A"/>
                <w:sz w:val="20"/>
                <w:szCs w:val="20"/>
              </w:rPr>
              <w:t xml:space="preserve">35–45%</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profile with messaging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0D1B2A"/>
                <w:sz w:val="20"/>
                <w:szCs w:val="20"/>
              </w:rPr>
              <w:t xml:space="preserve">60–70%</w:t>
            </w:r>
          </w:p>
        </w:tc>
      </w:tr>
      <w:tr>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Conference speaker/attendee (warm path)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0D1B2A"/>
                <w:sz w:val="20"/>
                <w:szCs w:val="20"/>
              </w:rPr>
              <w:t xml:space="preserve">20–30%</w:t>
            </w:r>
          </w:p>
        </w:tc>
      </w:tr>
      <w:tr>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FCC/state regulatory filing contact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0D1B2A"/>
                <w:sz w:val="20"/>
                <w:szCs w:val="20"/>
              </w:rPr>
              <w:t xml:space="preserve">50–60%</w:t>
            </w:r>
          </w:p>
        </w:tc>
      </w:tr>
      <w:tr>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Reachability through any credible channel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2A9D8F"/>
                <w:sz w:val="20"/>
                <w:szCs w:val="20"/>
              </w:rPr>
              <w:t xml:space="preserve">80%+</w:t>
            </w:r>
          </w:p>
        </w:tc>
      </w:tr>
    </w:tbl>
    <w:p>
      <w:r>
        <w:br w:type="page"/>
      </w:r>
    </w:p>
    <w:p>
      <w:pPr>
        <w:pStyle w:val="Heading2"/>
        <w:spacing w:before="280" w:after="160"/>
      </w:pPr>
      <w:r>
        <w:rPr>
          <w:rFonts w:ascii="Arial" w:cs="Arial" w:eastAsia="Arial" w:hAnsi="Arial"/>
          <w:b/>
          <w:bCs/>
          <w:color w:val="1B2838"/>
          <w:sz w:val="26"/>
          <w:szCs w:val="26"/>
        </w:rPr>
        <w:t xml:space="preserve">Module 3: Operational Strain Prediction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1B2A"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color w:val="0D1B2A"/>
                <w:sz w:val="22"/>
                <w:szCs w:val="22"/>
              </w:rPr>
              <w:t xml:space="preserve">This is the module that doesn’t exist anywhere else.</w:t>
            </w:r>
          </w:p>
        </w:tc>
      </w:tr>
    </w:tbl>
    <w:p>
      <w:pPr>
        <w:spacing w:after="160" w:line="276"/>
      </w:pPr>
      <w:r>
        <w:rPr>
          <w:rFonts w:ascii="Arial" w:cs="Arial" w:eastAsia="Arial" w:hAnsi="Arial"/>
          <w:color w:val="333333"/>
          <w:sz w:val="21"/>
          <w:szCs w:val="21"/>
        </w:rPr>
        <w:t xml:space="preserve">Every ISP that receives significant broadband funding follows a predictable operational arc: win the award, start building, subscribers connect, internal operations strain, service quality degrades, the CEO realizes they need help. The Operational Strain Model predicts where each ISP sits on this arc using six quantitative and qualitative factors.</w:t>
      </w:r>
    </w:p>
    <w:p>
      <w:pPr>
        <w:pStyle w:val="Heading3"/>
        <w:spacing w:before="200" w:after="120"/>
      </w:pPr>
      <w:r>
        <w:rPr>
          <w:rFonts w:ascii="Arial" w:cs="Arial" w:eastAsia="Arial" w:hAnsi="Arial"/>
          <w:b/>
          <w:bCs/>
          <w:color w:val="2A9D8F"/>
          <w:sz w:val="22"/>
          <w:szCs w:val="22"/>
        </w:rPr>
        <w:t xml:space="preserve">Factor 1: Growth Velocity Index (GVI) — 20 points</w:t>
      </w:r>
    </w:p>
    <w:p>
      <w:pPr>
        <w:spacing w:after="160" w:line="276"/>
      </w:pPr>
      <w:r>
        <w:rPr>
          <w:rFonts w:ascii="Arial" w:cs="Arial" w:eastAsia="Arial" w:hAnsi="Arial"/>
          <w:color w:val="333333"/>
          <w:sz w:val="21"/>
          <w:szCs w:val="21"/>
        </w:rPr>
        <w:t xml:space="preserve">Formula: (New locations funded) ÷ (Current estimated subscribers). A GVI above 0.5 means the ISP is adding more than half its current base. Above 1.0, doubling. Above 2.0, tripling. Higher GVI correlates directly with faster time-to-breaking-point and higher probability of outsourcing.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9D8F"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color w:val="0D1B2A"/>
                <w:sz w:val="21"/>
                <w:szCs w:val="21"/>
              </w:rPr>
              <w:t xml:space="preserve">Wisper ISP: </w:t>
            </w:r>
            <w:r>
              <w:rPr>
                <w:rFonts w:ascii="Arial" w:cs="Arial" w:eastAsia="Arial" w:hAnsi="Arial"/>
                <w:color w:val="555555"/>
                <w:sz w:val="21"/>
                <w:szCs w:val="21"/>
              </w:rPr>
              <w:t xml:space="preserve">37,140 locations / ~45K subscribers = 0.83 GVI. Significant but manageable.</w:t>
            </w:r>
          </w:p>
          <w:p>
            <w:pPr>
              <w:spacing w:after="80" w:line="276"/>
            </w:pPr>
            <w:r>
              <w:rPr>
                <w:rFonts w:ascii="Arial" w:cs="Arial" w:eastAsia="Arial" w:hAnsi="Arial"/>
                <w:b/>
                <w:bCs/>
                <w:color w:val="0D1B2A"/>
                <w:sz w:val="21"/>
                <w:szCs w:val="21"/>
              </w:rPr>
              <w:t xml:space="preserve">Maverix Broadband: </w:t>
            </w:r>
            <w:r>
              <w:rPr>
                <w:rFonts w:ascii="Arial" w:cs="Arial" w:eastAsia="Arial" w:hAnsi="Arial"/>
                <w:color w:val="555555"/>
                <w:sz w:val="21"/>
                <w:szCs w:val="21"/>
              </w:rPr>
              <w:t xml:space="preserve">10,232 locations / ~0 subscribers = infinite GVI. Greenfield. Needs everything.</w:t>
            </w:r>
          </w:p>
          <w:p>
            <w:pPr>
              <w:spacing w:after="80" w:line="276"/>
            </w:pPr>
            <w:r>
              <w:rPr>
                <w:rFonts w:ascii="Arial" w:cs="Arial" w:eastAsia="Arial" w:hAnsi="Arial"/>
                <w:b/>
                <w:bCs/>
                <w:color w:val="0D1B2A"/>
                <w:sz w:val="21"/>
                <w:szCs w:val="21"/>
              </w:rPr>
              <w:t xml:space="preserve">LigTel: </w:t>
            </w:r>
            <w:r>
              <w:rPr>
                <w:rFonts w:ascii="Arial" w:cs="Arial" w:eastAsia="Arial" w:hAnsi="Arial"/>
                <w:color w:val="555555"/>
                <w:sz w:val="21"/>
                <w:szCs w:val="21"/>
              </w:rPr>
              <w:t xml:space="preserve">600 locations / ~4K subscribers = 0.15 GVI. Moderate — but already struggling operationally.</w:t>
            </w:r>
          </w:p>
        </w:tc>
      </w:tr>
    </w:tbl>
    <w:p>
      <w:pPr>
        <w:pStyle w:val="Heading3"/>
        <w:spacing w:before="200" w:after="120"/>
      </w:pPr>
      <w:r>
        <w:rPr>
          <w:rFonts w:ascii="Arial" w:cs="Arial" w:eastAsia="Arial" w:hAnsi="Arial"/>
          <w:b/>
          <w:bCs/>
          <w:color w:val="2A9D8F"/>
          <w:sz w:val="22"/>
          <w:szCs w:val="22"/>
        </w:rPr>
        <w:t xml:space="preserve">Factor 2: Organizational Maturity Score (OMS) — 20 points</w:t>
      </w:r>
    </w:p>
    <w:p>
      <w:pPr>
        <w:spacing w:after="160" w:line="276"/>
      </w:pPr>
      <w:r>
        <w:rPr>
          <w:rFonts w:ascii="Arial" w:cs="Arial" w:eastAsia="Arial" w:hAnsi="Arial"/>
          <w:color w:val="333333"/>
          <w:sz w:val="21"/>
          <w:szCs w:val="21"/>
        </w:rPr>
        <w:t xml:space="preserve">A 1–5 composite based on company age, leadership depth, technology complexity, operational history, and digital presence sophistication. ISPs with OMS 1–2 combined with GVI above 1.0 are the highest-probability outsource candidates — no operational foundation, thousands of incoming subscribers.</w:t>
      </w:r>
    </w:p>
    <w:p>
      <w:pPr>
        <w:pStyle w:val="Heading3"/>
        <w:spacing w:before="200" w:after="120"/>
      </w:pPr>
      <w:r>
        <w:rPr>
          <w:rFonts w:ascii="Arial" w:cs="Arial" w:eastAsia="Arial" w:hAnsi="Arial"/>
          <w:b/>
          <w:bCs/>
          <w:color w:val="2A9D8F"/>
          <w:sz w:val="22"/>
          <w:szCs w:val="22"/>
        </w:rPr>
        <w:t xml:space="preserve">Factor 3: Technology Transition Complexity (TTC) — 15 points</w:t>
      </w:r>
    </w:p>
    <w:p>
      <w:pPr>
        <w:spacing w:after="160" w:line="276"/>
      </w:pPr>
      <w:r>
        <w:rPr>
          <w:rFonts w:ascii="Arial" w:cs="Arial" w:eastAsia="Arial" w:hAnsi="Arial"/>
          <w:color w:val="333333"/>
          <w:sz w:val="21"/>
          <w:szCs w:val="21"/>
        </w:rPr>
        <w:t xml:space="preserve">Same-technology expansion = 1x baseline. Technology transition (FWA to fiber) = 2x — requires parallel BSS/OSS, different workforce skills, unified CX. Multi-technology deployment = 2.5x. Greenfield multi-technology = 3x. ISPs like SkyFiber ($181M FWA-to-fiber transition in Nevada) score high because they must operate two technology platforms simultaneously while growing.</w:t>
      </w:r>
    </w:p>
    <w:p>
      <w:pPr>
        <w:pStyle w:val="Heading3"/>
        <w:spacing w:before="200" w:after="120"/>
      </w:pPr>
      <w:r>
        <w:rPr>
          <w:rFonts w:ascii="Arial" w:cs="Arial" w:eastAsia="Arial" w:hAnsi="Arial"/>
          <w:b/>
          <w:bCs/>
          <w:color w:val="2A9D8F"/>
          <w:sz w:val="22"/>
          <w:szCs w:val="22"/>
        </w:rPr>
        <w:t xml:space="preserve">Factor 4: Workforce Strain Index (WSI) — 20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1B2A"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i/>
                <w:iCs/>
                <w:color w:val="0D1B2A"/>
                <w:sz w:val="21"/>
                <w:szCs w:val="21"/>
              </w:rPr>
              <w:t xml:space="preserve">The single most actionable real-time signal in the model.</w:t>
            </w:r>
          </w:p>
        </w:tc>
      </w:tr>
    </w:tbl>
    <w:p>
      <w:pPr>
        <w:spacing w:after="160" w:line="276"/>
      </w:pPr>
      <w:r>
        <w:rPr>
          <w:rFonts w:ascii="Arial" w:cs="Arial" w:eastAsia="Arial" w:hAnsi="Arial"/>
          <w:color w:val="333333"/>
          <w:sz w:val="21"/>
          <w:szCs w:val="21"/>
        </w:rPr>
        <w:t xml:space="preserve">Monitors job postings across Indeed, LinkedIn, and company career pages. An ISP posting for helpdesk, NOC, or operations roles is literally advertising that they have an unsolved operational problem. If postings stay open 30+ days, it signals they can’t find talent locally — the strongest possible case for outsourced managed services. This factor updates weekly and triggers automatic rescoring.</w:t>
      </w:r>
    </w:p>
    <w:p>
      <w:pPr>
        <w:pStyle w:val="Heading3"/>
        <w:spacing w:before="200" w:after="120"/>
      </w:pPr>
      <w:r>
        <w:rPr>
          <w:rFonts w:ascii="Arial" w:cs="Arial" w:eastAsia="Arial" w:hAnsi="Arial"/>
          <w:b/>
          <w:bCs/>
          <w:color w:val="2A9D8F"/>
          <w:sz w:val="22"/>
          <w:szCs w:val="22"/>
        </w:rPr>
        <w:t xml:space="preserve">Factor 5: Deployment Timeline Pressure (DTP) — 15 points</w:t>
      </w:r>
    </w:p>
    <w:p>
      <w:pPr>
        <w:spacing w:after="160" w:line="276"/>
      </w:pPr>
      <w:r>
        <w:rPr>
          <w:rFonts w:ascii="Arial" w:cs="Arial" w:eastAsia="Arial" w:hAnsi="Arial"/>
          <w:color w:val="333333"/>
          <w:sz w:val="21"/>
          <w:szCs w:val="21"/>
        </w:rPr>
        <w:t xml:space="preserve">BEAD subgrants have state-specific deployment deadlines. States that moved earliest (Louisiana, Delaware, Nevada) create the most time pressure. Beyond BEAD, the model tracks investor timelines for PE-backed ISPs, ReConnect milestones, and state broadband office reporting deadlines.</w:t>
      </w:r>
    </w:p>
    <w:p>
      <w:pPr>
        <w:pStyle w:val="Heading3"/>
        <w:spacing w:before="200" w:after="120"/>
      </w:pPr>
      <w:r>
        <w:rPr>
          <w:rFonts w:ascii="Arial" w:cs="Arial" w:eastAsia="Arial" w:hAnsi="Arial"/>
          <w:b/>
          <w:bCs/>
          <w:color w:val="2A9D8F"/>
          <w:sz w:val="22"/>
          <w:szCs w:val="22"/>
        </w:rPr>
        <w:t xml:space="preserve">Factor 6: Service Quality Degradation Signals (SQDS) — 10 points</w:t>
      </w:r>
    </w:p>
    <w:p>
      <w:pPr>
        <w:spacing w:after="160" w:line="276"/>
      </w:pPr>
      <w:r>
        <w:rPr>
          <w:rFonts w:ascii="Arial" w:cs="Arial" w:eastAsia="Arial" w:hAnsi="Arial"/>
          <w:color w:val="333333"/>
          <w:sz w:val="21"/>
          <w:szCs w:val="21"/>
        </w:rPr>
        <w:t xml:space="preserve">External evidence that operations are already struggling: FCC consumer complaints, BBB complaints, Google review sentiment, Downdetector reports, state PUC complaints. An ISP with rising complaint volumes is past the prediction stage — they’re in active crisis. These are urgent outreach targets.</w:t>
      </w:r>
    </w:p>
    <w:p>
      <w:pPr>
        <w:pStyle w:val="Heading3"/>
        <w:spacing w:before="200" w:after="120"/>
      </w:pPr>
      <w:r>
        <w:rPr>
          <w:rFonts w:ascii="Arial" w:cs="Arial" w:eastAsia="Arial" w:hAnsi="Arial"/>
          <w:b/>
          <w:bCs/>
          <w:color w:val="2A9D8F"/>
          <w:sz w:val="22"/>
          <w:szCs w:val="22"/>
        </w:rPr>
        <w:t xml:space="preserve">Composite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80–100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B2A"/>
                <w:sz w:val="20"/>
                <w:szCs w:val="20"/>
              </w:rPr>
              <w:t xml:space="preserve">CRITICAL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333333"/>
                <w:sz w:val="20"/>
                <w:szCs w:val="20"/>
              </w:rPr>
              <w:t xml:space="preserve">Within 90 days of needing help. Immediate executive engagement.</w:t>
            </w:r>
          </w:p>
        </w:tc>
      </w:tr>
      <w:tr>
        <w:tc>
          <w:tcPr>
            <w:tcW w:type="dxa" w:w="1200"/>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60–79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B2A"/>
                <w:sz w:val="20"/>
                <w:szCs w:val="20"/>
              </w:rPr>
              <w:t xml:space="preserve">HIGH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333333"/>
                <w:sz w:val="20"/>
                <w:szCs w:val="20"/>
              </w:rPr>
              <w:t xml:space="preserve">Strain building. Outreach within 30 days with capability presentation.</w:t>
            </w:r>
          </w:p>
        </w:tc>
      </w:tr>
      <w:tr>
        <w:tc>
          <w:tcPr>
            <w:tcW w:type="dxa" w:w="1200"/>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40–59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B2A"/>
                <w:sz w:val="20"/>
                <w:szCs w:val="20"/>
              </w:rPr>
              <w:t xml:space="preserve">MODERATE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333333"/>
                <w:sz w:val="20"/>
                <w:szCs w:val="20"/>
              </w:rPr>
              <w:t xml:space="preserve">On trajectory. Nurture sequence with quarterly touchpoints.</w:t>
            </w:r>
          </w:p>
        </w:tc>
      </w:tr>
      <w:tr>
        <w:tc>
          <w:tcPr>
            <w:tcW w:type="dxa" w:w="1200"/>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20–39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B2A"/>
                <w:sz w:val="20"/>
                <w:szCs w:val="20"/>
              </w:rPr>
              <w:t xml:space="preserve">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0"/>
            </w:pPr>
            <w:r>
              <w:rPr>
                <w:rFonts w:ascii="Arial" w:cs="Arial" w:eastAsia="Arial" w:hAnsi="Arial"/>
                <w:color w:val="333333"/>
                <w:sz w:val="20"/>
                <w:szCs w:val="20"/>
              </w:rPr>
              <w:t xml:space="preserve">Early stage. Monitoring for signal changes. Annual review.</w:t>
            </w:r>
          </w:p>
        </w:tc>
      </w:tr>
    </w:tbl>
    <w:p>
      <w:pPr>
        <w:spacing w:before="80" w:after="80"/>
      </w:pPr>
    </w:p>
    <w:p>
      <w:pPr>
        <w:spacing w:after="160" w:line="276"/>
      </w:pPr>
      <w:r>
        <w:rPr>
          <w:rFonts w:ascii="Arial" w:cs="Arial" w:eastAsia="Arial" w:hAnsi="Arial"/>
          <w:color w:val="333333"/>
          <w:sz w:val="21"/>
          <w:szCs w:val="21"/>
        </w:rPr>
        <w:t xml:space="preserve">For each ISP above the 40-point threshold, the model estimates a “Decision Month” — the projected month when the ISP will begin actively seeking managed services support. The platform begins escalating outreach cadence 90 days before the Decision Month.</w:t>
      </w:r>
    </w:p>
    <w:p>
      <w:r>
        <w:br w:type="page"/>
      </w:r>
    </w:p>
    <w:p>
      <w:pPr>
        <w:pStyle w:val="Heading2"/>
        <w:spacing w:before="280" w:after="160"/>
      </w:pPr>
      <w:r>
        <w:rPr>
          <w:rFonts w:ascii="Arial" w:cs="Arial" w:eastAsia="Arial" w:hAnsi="Arial"/>
          <w:b/>
          <w:bCs/>
          <w:color w:val="1B2838"/>
          <w:sz w:val="26"/>
          <w:szCs w:val="26"/>
        </w:rPr>
        <w:t xml:space="preserve">Module 4: Competitive Landscape Map</w:t>
      </w:r>
    </w:p>
    <w:p>
      <w:pPr>
        <w:spacing w:after="160" w:line="276"/>
      </w:pPr>
      <w:r>
        <w:rPr>
          <w:rFonts w:ascii="Arial" w:cs="Arial" w:eastAsia="Arial" w:hAnsi="Arial"/>
          <w:color w:val="333333"/>
          <w:sz w:val="21"/>
          <w:szCs w:val="21"/>
        </w:rPr>
        <w:t xml:space="preserve">No prospect exists in a vacuum. This module maintains a competitive intelligence layer tracking competitor identities, partnership networks, displacement signals, and win/loss pattern correlation. The output per prospect: a competitive landscape card showing known managed services relationships, identified white space, displacement opportunity score, and recommended positioning.</w:t>
      </w:r>
    </w:p>
    <w:p>
      <w:pPr>
        <w:pStyle w:val="Heading2"/>
        <w:spacing w:before="280" w:after="160"/>
      </w:pPr>
      <w:r>
        <w:rPr>
          <w:rFonts w:ascii="Arial" w:cs="Arial" w:eastAsia="Arial" w:hAnsi="Arial"/>
          <w:b/>
          <w:bCs/>
          <w:color w:val="1B2838"/>
          <w:sz w:val="26"/>
          <w:szCs w:val="26"/>
        </w:rPr>
        <w:t xml:space="preserve">Module 5: Engagement Orchestration Engine</w:t>
      </w:r>
    </w:p>
    <w:p>
      <w:pPr>
        <w:spacing w:after="160" w:line="276"/>
      </w:pPr>
      <w:r>
        <w:rPr>
          <w:rFonts w:ascii="Arial" w:cs="Arial" w:eastAsia="Arial" w:hAnsi="Arial"/>
          <w:color w:val="333333"/>
          <w:sz w:val="21"/>
          <w:szCs w:val="21"/>
        </w:rPr>
        <w:t xml:space="preserve">Most managed services companies approach ISP sales with generic capability decks. This engine creates contextualized, multi-channel outreach sequences tailored to each prospect’s specific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9D8F"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color w:val="333333"/>
                <w:sz w:val="21"/>
                <w:szCs w:val="21"/>
              </w:rPr>
              <w:t xml:space="preserve">A prospect CEO who receives an outreach that says </w:t>
            </w:r>
            <w:r>
              <w:rPr>
                <w:rFonts w:ascii="Arial" w:cs="Arial" w:eastAsia="Arial" w:hAnsi="Arial"/>
                <w:i/>
                <w:iCs/>
                <w:color w:val="0D1B2A"/>
                <w:sz w:val="21"/>
                <w:szCs w:val="21"/>
              </w:rPr>
              <w:t xml:space="preserve">“We noticed you’re deploying fiber to 10,232 locations in Colorado with a $103M BEAD award, and we saw your recent NOC technician postings in Grand Junction”</w:t>
            </w:r>
            <w:r>
              <w:rPr>
                <w:rFonts w:ascii="Arial" w:cs="Arial" w:eastAsia="Arial" w:hAnsi="Arial"/>
                <w:color w:val="333333"/>
                <w:sz w:val="21"/>
                <w:szCs w:val="21"/>
              </w:rPr>
              <w:t xml:space="preserve"> is having a fundamentally different conversation than one who receives </w:t>
            </w:r>
            <w:r>
              <w:rPr>
                <w:rFonts w:ascii="Arial" w:cs="Arial" w:eastAsia="Arial" w:hAnsi="Arial"/>
                <w:i/>
                <w:iCs/>
                <w:color w:val="555555"/>
                <w:sz w:val="21"/>
                <w:szCs w:val="21"/>
              </w:rPr>
              <w:t xml:space="preserve">“We provide managed services for ISPs.”</w:t>
            </w:r>
          </w:p>
        </w:tc>
      </w:tr>
    </w:tbl>
    <w:p>
      <w:pPr>
        <w:spacing w:after="160" w:line="276"/>
      </w:pPr>
      <w:r>
        <w:rPr>
          <w:rFonts w:ascii="Arial" w:cs="Arial" w:eastAsia="Arial" w:hAnsi="Arial"/>
          <w:color w:val="333333"/>
          <w:sz w:val="21"/>
          <w:szCs w:val="21"/>
        </w:rPr>
        <w:t xml:space="preserve">The engine optimizes across five outreach channels (direct email, conference engagement, industry association introduction, LinkedIn, warm referral), fires timing triggers based on signal events rather than calendar schedules, targets conference attendance based on prospect density, and identifies thought leadership topics that address the most common pain points in the current pipeline.</w:t>
      </w:r>
    </w:p>
    <w:p>
      <w:pPr>
        <w:pStyle w:val="Heading2"/>
        <w:spacing w:before="280" w:after="160"/>
      </w:pPr>
      <w:r>
        <w:rPr>
          <w:rFonts w:ascii="Arial" w:cs="Arial" w:eastAsia="Arial" w:hAnsi="Arial"/>
          <w:b/>
          <w:bCs/>
          <w:color w:val="1B2838"/>
          <w:sz w:val="26"/>
          <w:szCs w:val="26"/>
        </w:rPr>
        <w:t xml:space="preserve">Module 6: Partner Lifecycle Intelligence</w:t>
      </w:r>
    </w:p>
    <w:p>
      <w:pPr>
        <w:spacing w:after="160" w:line="276"/>
      </w:pPr>
      <w:r>
        <w:rPr>
          <w:rFonts w:ascii="Arial" w:cs="Arial" w:eastAsia="Arial" w:hAnsi="Arial"/>
          <w:color w:val="333333"/>
          <w:sz w:val="21"/>
          <w:szCs w:val="21"/>
        </w:rPr>
        <w:t xml:space="preserve">The relationship doesn’t end when the contract is signed. This module applies the same intelligence methodology to existing ISPN partners, transforming partner management from reactive to predictive.</w:t>
      </w:r>
    </w:p>
    <w:p>
      <w:pPr>
        <w:spacing w:after="160" w:line="276"/>
      </w:pPr>
      <w:r>
        <w:rPr>
          <w:rFonts w:ascii="Arial" w:cs="Arial" w:eastAsia="Arial" w:hAnsi="Arial"/>
          <w:color w:val="333333"/>
          <w:sz w:val="21"/>
          <w:szCs w:val="21"/>
        </w:rPr>
        <w:t xml:space="preserve">Partner health scoring monitors call volume trends, escalation rates, NPS/CSAT, contract utilization, growth trajectory, and external signals. Churn prediction identifies early warning patterns — the signals that preceded LigTel — and triggers proactive account management interventions 90–180 days before a partner would formally request termination.</w:t>
      </w:r>
    </w:p>
    <w:p>
      <w:pPr>
        <w:spacing w:after="160" w:line="276"/>
      </w:pPr>
      <w:r>
        <w:rPr>
          <w:rFonts w:ascii="Arial" w:cs="Arial" w:eastAsia="Arial" w:hAnsi="Arial"/>
          <w:color w:val="333333"/>
          <w:sz w:val="21"/>
          <w:szCs w:val="21"/>
        </w:rPr>
        <w:t xml:space="preserve">When a current partner receives new funding, the platform immediately flags the expansion opportunity with estimated incremental contract value and a recommended approach for the account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1B2A"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color w:val="0D1B2A"/>
                <w:sz w:val="21"/>
                <w:szCs w:val="21"/>
              </w:rPr>
              <w:t xml:space="preserve">The LigTel Retrospective: </w:t>
            </w:r>
            <w:r>
              <w:rPr>
                <w:rFonts w:ascii="Arial" w:cs="Arial" w:eastAsia="Arial" w:hAnsi="Arial"/>
                <w:color w:val="333333"/>
                <w:sz w:val="21"/>
                <w:szCs w:val="21"/>
              </w:rPr>
              <w:t xml:space="preserve">If this system had been running, declining call volumes, reduced engagement metrics, external BEAD application activity, and operational strain signals would have triggered a partner health alert. Account management would have received a brief recommending a proactive expansion conversation — not a surprise termination request.</w:t>
            </w:r>
          </w:p>
        </w:tc>
      </w:tr>
    </w:tbl>
    <w:p>
      <w:r>
        <w:br w:type="page"/>
      </w:r>
    </w:p>
    <w:p>
      <w:pPr>
        <w:pStyle w:val="Heading2"/>
        <w:spacing w:before="280" w:after="160"/>
      </w:pPr>
      <w:r>
        <w:rPr>
          <w:rFonts w:ascii="Arial" w:cs="Arial" w:eastAsia="Arial" w:hAnsi="Arial"/>
          <w:b/>
          <w:bCs/>
          <w:color w:val="1B2838"/>
          <w:sz w:val="26"/>
          <w:szCs w:val="26"/>
        </w:rPr>
        <w:t xml:space="preserve">Module 7: Capacity Planning Bridge</w:t>
      </w:r>
    </w:p>
    <w:p>
      <w:pPr>
        <w:spacing w:after="160" w:line="276"/>
      </w:pPr>
      <w:r>
        <w:rPr>
          <w:rFonts w:ascii="Arial" w:cs="Arial" w:eastAsia="Arial" w:hAnsi="Arial"/>
          <w:color w:val="333333"/>
          <w:sz w:val="21"/>
          <w:szCs w:val="21"/>
        </w:rPr>
        <w:t xml:space="preserve">This is where market intelligence connects to operational readiness. The Tech Center can’t serve partners it isn’t prepared for.</w:t>
      </w:r>
    </w:p>
    <w:p>
      <w:pPr>
        <w:spacing w:after="160" w:line="276"/>
      </w:pPr>
      <w:r>
        <w:rPr>
          <w:rFonts w:ascii="Arial" w:cs="Arial" w:eastAsia="Arial" w:hAnsi="Arial"/>
          <w:color w:val="333333"/>
          <w:sz w:val="21"/>
          <w:szCs w:val="21"/>
        </w:rPr>
        <w:t xml:space="preserve">As prospects move through the pipeline, the platform feeds estimated capacity requirements directly into the WCS forecasting model: projected call volumes by technology type, rural subscriber behavioral patterns (15–20% higher contact rates than urban), technology-specific training requirements, and estimated onboarding timelines. This gives the Tech Center 90–180 days of advance visibility.</w:t>
      </w:r>
    </w:p>
    <w:p>
      <w:pPr>
        <w:spacing w:after="160" w:line="276"/>
      </w:pPr>
      <w:r>
        <w:rPr>
          <w:rFonts w:ascii="Arial" w:cs="Arial" w:eastAsia="Arial" w:hAnsi="Arial"/>
          <w:color w:val="333333"/>
          <w:sz w:val="21"/>
          <w:szCs w:val="21"/>
        </w:rPr>
        <w:t xml:space="preserve">The module maps each prospect’s technology profile to required agent skill sets and identifies training gaps before contracts are signed. When the pipeline projects demand exceeding current capacity within 6 months, it triggers a hiring recommendation with specific headcount, skill requirements, and timeline.</w:t>
      </w:r>
    </w:p>
    <w:p>
      <w:pPr>
        <w:pStyle w:val="Heading2"/>
        <w:spacing w:before="280" w:after="160"/>
      </w:pPr>
      <w:r>
        <w:rPr>
          <w:rFonts w:ascii="Arial" w:cs="Arial" w:eastAsia="Arial" w:hAnsi="Arial"/>
          <w:b/>
          <w:bCs/>
          <w:color w:val="1B2838"/>
          <w:sz w:val="26"/>
          <w:szCs w:val="26"/>
        </w:rPr>
        <w:t xml:space="preserve">Module 8: Financial Intelligence Module</w:t>
      </w:r>
    </w:p>
    <w:p>
      <w:pPr>
        <w:spacing w:after="160" w:line="276"/>
      </w:pPr>
      <w:r>
        <w:rPr>
          <w:rFonts w:ascii="Arial" w:cs="Arial" w:eastAsia="Arial" w:hAnsi="Arial"/>
          <w:color w:val="333333"/>
          <w:sz w:val="21"/>
          <w:szCs w:val="21"/>
        </w:rPr>
        <w:t xml:space="preserve">Every prospect represents a financial equation. The platform estimates potential contract value based on subscriber count, per-subscriber-per-month rates by service scope, technology and geographic complexity multipliers, and BEAD compliance requirements. It also estimates ISPN’s cost to serve each prospect, producing a projected margin before the proposal is written.</w:t>
      </w:r>
    </w:p>
    <w:p>
      <w:pPr>
        <w:spacing w:after="160" w:line="276"/>
      </w:pPr>
      <w:r>
        <w:rPr>
          <w:rFonts w:ascii="Arial" w:cs="Arial" w:eastAsia="Arial" w:hAnsi="Arial"/>
          <w:color w:val="333333"/>
          <w:sz w:val="21"/>
          <w:szCs w:val="21"/>
        </w:rPr>
        <w:t xml:space="preserve">The portfolio diversification analysis tracks how each potential partnership affects ISPN’s concentration risk across partners, technology types, and geographies — informing prioritization when the pipeline has more qualified prospects than Sales can pursue simultaneously.</w:t>
      </w:r>
    </w:p>
    <w:p>
      <w:pPr>
        <w:pStyle w:val="Heading2"/>
        <w:spacing w:before="280" w:after="160"/>
      </w:pPr>
      <w:r>
        <w:rPr>
          <w:rFonts w:ascii="Arial" w:cs="Arial" w:eastAsia="Arial" w:hAnsi="Arial"/>
          <w:b/>
          <w:bCs/>
          <w:color w:val="1B2838"/>
          <w:sz w:val="26"/>
          <w:szCs w:val="26"/>
        </w:rPr>
        <w:t xml:space="preserve">Module 9: Regulatory &amp; Compliance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1B2A"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i/>
                <w:iCs/>
                <w:color w:val="0D1B2A"/>
                <w:sz w:val="21"/>
                <w:szCs w:val="21"/>
              </w:rPr>
              <w:t xml:space="preserve">The sleeper sales angle nobody is talking about.</w:t>
            </w:r>
          </w:p>
        </w:tc>
      </w:tr>
    </w:tbl>
    <w:p>
      <w:pPr>
        <w:spacing w:after="160" w:line="276"/>
      </w:pPr>
      <w:r>
        <w:rPr>
          <w:rFonts w:ascii="Arial" w:cs="Arial" w:eastAsia="Arial" w:hAnsi="Arial"/>
          <w:color w:val="333333"/>
          <w:sz w:val="21"/>
          <w:szCs w:val="21"/>
        </w:rPr>
        <w:t xml:space="preserve">Small ISPs that won BEAD awards have never managed federal grant compliance. The reporting requirements alone — deployment progress, service quality metrics, low-cost broadband option compliance, environmental review, workforce plan adherence, financial auditing — represent a significant operational burden.</w:t>
      </w:r>
    </w:p>
    <w:p>
      <w:pPr>
        <w:spacing w:after="160" w:line="276"/>
      </w:pPr>
      <w:r>
        <w:rPr>
          <w:rFonts w:ascii="Arial" w:cs="Arial" w:eastAsia="Arial" w:hAnsi="Arial"/>
          <w:color w:val="333333"/>
          <w:sz w:val="21"/>
          <w:szCs w:val="21"/>
        </w:rPr>
        <w:t xml:space="preserve">ISPN can position its managed services not just as customer support but as compliance infrastructure: “We don’t just answer your subscribers’ phone calls. We generate the BEAD compliance reports that prove your federal grant is being used properly.” This is a value proposition no competitor is leading with.</w:t>
      </w:r>
    </w:p>
    <w:p>
      <w:pPr>
        <w:pStyle w:val="Heading2"/>
        <w:spacing w:before="280" w:after="160"/>
      </w:pPr>
      <w:r>
        <w:rPr>
          <w:rFonts w:ascii="Arial" w:cs="Arial" w:eastAsia="Arial" w:hAnsi="Arial"/>
          <w:b/>
          <w:bCs/>
          <w:color w:val="1B2838"/>
          <w:sz w:val="26"/>
          <w:szCs w:val="26"/>
        </w:rPr>
        <w:t xml:space="preserve">Module 10: The Flywheel</w:t>
      </w:r>
    </w:p>
    <w:p>
      <w:pPr>
        <w:spacing w:after="160" w:line="276"/>
      </w:pPr>
      <w:r>
        <w:rPr>
          <w:rFonts w:ascii="Arial" w:cs="Arial" w:eastAsia="Arial" w:hAnsi="Arial"/>
          <w:color w:val="333333"/>
          <w:sz w:val="21"/>
          <w:szCs w:val="21"/>
        </w:rPr>
        <w:t xml:space="preserve">The system that gets smarter every quarter. Four feedback loops compound ISPN’s intelligence advantage over time:</w:t>
      </w:r>
    </w:p>
    <w:p>
      <w:pPr>
        <w:spacing w:after="160" w:line="276"/>
      </w:pPr>
      <w:r>
        <w:rPr>
          <w:rFonts w:ascii="Arial" w:cs="Arial" w:eastAsia="Arial" w:hAnsi="Arial"/>
          <w:b/>
          <w:bCs/>
          <w:color w:val="0D1B2A"/>
          <w:sz w:val="21"/>
          <w:szCs w:val="21"/>
        </w:rPr>
        <w:t xml:space="preserve">The Outreach Loop: </w:t>
      </w:r>
      <w:r>
        <w:rPr>
          <w:rFonts w:ascii="Arial" w:cs="Arial" w:eastAsia="Arial" w:hAnsi="Arial"/>
          <w:color w:val="333333"/>
          <w:sz w:val="21"/>
          <w:szCs w:val="21"/>
        </w:rPr>
        <w:t xml:space="preserve">Every touchpoint — response rates, conversion rates, win/loss by competitive position — refines scoring factor weights, channel selection, and outreach templates.</w:t>
      </w:r>
    </w:p>
    <w:p>
      <w:pPr>
        <w:spacing w:after="160" w:line="276"/>
      </w:pPr>
      <w:r>
        <w:rPr>
          <w:rFonts w:ascii="Arial" w:cs="Arial" w:eastAsia="Arial" w:hAnsi="Arial"/>
          <w:b/>
          <w:bCs/>
          <w:color w:val="0D1B2A"/>
          <w:sz w:val="21"/>
          <w:szCs w:val="21"/>
        </w:rPr>
        <w:t xml:space="preserve">The Partner Data Loop: </w:t>
      </w:r>
      <w:r>
        <w:rPr>
          <w:rFonts w:ascii="Arial" w:cs="Arial" w:eastAsia="Arial" w:hAnsi="Arial"/>
          <w:color w:val="333333"/>
          <w:sz w:val="21"/>
          <w:szCs w:val="21"/>
        </w:rPr>
        <w:t xml:space="preserve">Every new ISP partner generates operational data (actual call volumes, training timelines, subscriber ramp curves) that improves predictions for future prospects.</w:t>
      </w:r>
    </w:p>
    <w:p>
      <w:pPr>
        <w:spacing w:after="160" w:line="276"/>
      </w:pPr>
      <w:r>
        <w:rPr>
          <w:rFonts w:ascii="Arial" w:cs="Arial" w:eastAsia="Arial" w:hAnsi="Arial"/>
          <w:b/>
          <w:bCs/>
          <w:color w:val="0D1B2A"/>
          <w:sz w:val="21"/>
          <w:szCs w:val="21"/>
        </w:rPr>
        <w:t xml:space="preserve">The Competitive Intelligence Loop: </w:t>
      </w:r>
      <w:r>
        <w:rPr>
          <w:rFonts w:ascii="Arial" w:cs="Arial" w:eastAsia="Arial" w:hAnsi="Arial"/>
          <w:color w:val="333333"/>
          <w:sz w:val="21"/>
          <w:szCs w:val="21"/>
        </w:rPr>
        <w:t xml:space="preserve">Every win and loss teaches ISPN about competitor pricing, service levels, delivery gaps, and positioning vulnerabilities.</w:t>
      </w:r>
    </w:p>
    <w:p>
      <w:pPr>
        <w:spacing w:after="160" w:line="276"/>
      </w:pPr>
      <w:r>
        <w:rPr>
          <w:rFonts w:ascii="Arial" w:cs="Arial" w:eastAsia="Arial" w:hAnsi="Arial"/>
          <w:b/>
          <w:bCs/>
          <w:color w:val="0D1B2A"/>
          <w:sz w:val="21"/>
          <w:szCs w:val="21"/>
        </w:rPr>
        <w:t xml:space="preserve">The Market Knowledge Loop: </w:t>
      </w:r>
      <w:r>
        <w:rPr>
          <w:rFonts w:ascii="Arial" w:cs="Arial" w:eastAsia="Arial" w:hAnsi="Arial"/>
          <w:color w:val="333333"/>
          <w:sz w:val="21"/>
          <w:szCs w:val="21"/>
        </w:rPr>
        <w:t xml:space="preserve">Across hundreds of ISP assessments, the platform develops a proprietary understanding of the rural broadband managed services market that doesn’t exist in any public database. This knowledge becomes ISPN’s intellectual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9D8F"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color w:val="0D1B2A"/>
                <w:sz w:val="21"/>
                <w:szCs w:val="21"/>
              </w:rPr>
              <w:t xml:space="preserve">The Network Effect: </w:t>
            </w:r>
            <w:r>
              <w:rPr>
                <w:rFonts w:ascii="Arial" w:cs="Arial" w:eastAsia="Arial" w:hAnsi="Arial"/>
                <w:color w:val="333333"/>
                <w:sz w:val="21"/>
                <w:szCs w:val="21"/>
              </w:rPr>
              <w:t xml:space="preserve">More partners → better data → better predictions → more efficient sales → more partners. A competitor starting from scratch faces a gap that widens with each quarter. This is the definition of a strategic moat.</w:t>
            </w:r>
          </w:p>
        </w:tc>
      </w:tr>
    </w:tbl>
    <w:p>
      <w:r>
        <w:br w:type="page"/>
      </w:r>
    </w:p>
    <w:p>
      <w:pPr>
        <w:pStyle w:val="Heading1"/>
        <w:pBdr>
          <w:bottom w:val="single" w:color="2A9D8F" w:sz="6" w:space="8"/>
        </w:pBdr>
        <w:spacing w:before="360" w:after="200"/>
      </w:pPr>
      <w:r>
        <w:rPr>
          <w:rFonts w:ascii="Arial" w:cs="Arial" w:eastAsia="Arial" w:hAnsi="Arial"/>
          <w:b/>
          <w:bCs/>
          <w:color w:val="0D1B2A"/>
          <w:sz w:val="32"/>
          <w:szCs w:val="32"/>
        </w:rPr>
        <w:t xml:space="preserve">PART III: AGENTIC AI ARCHITECTURE</w:t>
      </w:r>
    </w:p>
    <w:p>
      <w:pPr>
        <w:spacing w:after="160" w:line="276"/>
      </w:pPr>
      <w:r>
        <w:rPr>
          <w:rFonts w:ascii="Arial" w:cs="Arial" w:eastAsia="Arial" w:hAnsi="Arial"/>
          <w:color w:val="333333"/>
          <w:sz w:val="21"/>
          <w:szCs w:val="21"/>
        </w:rPr>
        <w:t xml:space="preserve">The platform runs on five autonomous AI agents coordinated by an n8n orchestration layer. Each agent has a defined mission, clear triggers, and measurable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1"/>
              <w:left w:val="single" w:color="2A9D8F" w:sz="12"/>
              <w:bottom w:val="none" w:sz="0"/>
              <w:right w:val="single" w:color="2A9D8F" w:sz="1"/>
            </w:tcBorders>
            <w:shd w:fill="F2F2F2" w:val="clear"/>
            <w:tcMar>
              <w:top w:type="dxa" w:w="100"/>
              <w:left w:type="dxa" w:w="200"/>
              <w:bottom w:type="dxa" w:w="40"/>
              <w:right w:type="dxa" w:w="200"/>
            </w:tcMar>
          </w:tcPr>
          <w:p>
            <w:pPr>
              <w:spacing w:after="0"/>
            </w:pPr>
            <w:r>
              <w:rPr>
                <w:rFonts w:ascii="Arial" w:cs="Arial" w:eastAsia="Arial" w:hAnsi="Arial"/>
                <w:b/>
                <w:bCs/>
                <w:color w:val="2A9D8F"/>
                <w:sz w:val="22"/>
                <w:szCs w:val="22"/>
              </w:rPr>
              <w:t xml:space="preserve">SCOUT AGENT</w:t>
            </w:r>
            <w:r>
              <w:rPr>
                <w:rFonts w:ascii="Arial" w:cs="Arial" w:eastAsia="Arial" w:hAnsi="Arial"/>
                <w:i/>
                <w:iCs/>
                <w:color w:val="555555"/>
                <w:sz w:val="20"/>
                <w:szCs w:val="20"/>
              </w:rPr>
              <w:t xml:space="preserve">  —  The Eyes</w:t>
            </w:r>
          </w:p>
        </w:tc>
      </w:tr>
      <w:tr>
        <w:tc>
          <w:tcPr>
            <w:tcW w:type="dxa" w:w="9360"/>
            <w:tcBorders>
              <w:top w:val="none" w:sz="0"/>
              <w:left w:val="single" w:color="2A9D8F" w:sz="12"/>
              <w:bottom w:val="single" w:color="2A9D8F" w:sz="1"/>
              <w:right w:val="single" w:color="2A9D8F" w:sz="1"/>
            </w:tcBorders>
            <w:tcMar>
              <w:top w:type="dxa" w:w="40"/>
              <w:left w:type="dxa" w:w="200"/>
              <w:bottom w:type="dxa" w:w="120"/>
              <w:right w:type="dxa" w:w="200"/>
            </w:tcMar>
          </w:tcPr>
          <w:p>
            <w:pPr>
              <w:spacing w:line="276"/>
            </w:pPr>
            <w:r>
              <w:rPr>
                <w:rFonts w:ascii="Arial" w:cs="Arial" w:eastAsia="Arial" w:hAnsi="Arial"/>
                <w:color w:val="333333"/>
                <w:sz w:val="20"/>
                <w:szCs w:val="20"/>
              </w:rPr>
              <w:t xml:space="preserve">Continuous environmental scanning across 50+ data sources. Processes unstructured text using Claude API to extract structured signals: new awards, executive changes, job postings, complaints, policy changes, competitive movements. Average latency from real-world event to signal detection: 2–6 hours.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none" w:sz="0"/>
              <w:right w:val="single" w:color="3B82F6" w:sz="1"/>
            </w:tcBorders>
            <w:shd w:fill="F2F2F2" w:val="clear"/>
            <w:tcMar>
              <w:top w:type="dxa" w:w="100"/>
              <w:left w:type="dxa" w:w="200"/>
              <w:bottom w:type="dxa" w:w="40"/>
              <w:right w:type="dxa" w:w="200"/>
            </w:tcMar>
          </w:tcPr>
          <w:p>
            <w:pPr>
              <w:spacing w:after="0"/>
            </w:pPr>
            <w:r>
              <w:rPr>
                <w:rFonts w:ascii="Arial" w:cs="Arial" w:eastAsia="Arial" w:hAnsi="Arial"/>
                <w:b/>
                <w:bCs/>
                <w:color w:val="3B82F6"/>
                <w:sz w:val="22"/>
                <w:szCs w:val="22"/>
              </w:rPr>
              <w:t xml:space="preserve">ANALYST AGENT</w:t>
            </w:r>
            <w:r>
              <w:rPr>
                <w:rFonts w:ascii="Arial" w:cs="Arial" w:eastAsia="Arial" w:hAnsi="Arial"/>
                <w:i/>
                <w:iCs/>
                <w:color w:val="555555"/>
                <w:sz w:val="20"/>
                <w:szCs w:val="20"/>
              </w:rPr>
              <w:t xml:space="preserve">  —  The Brain</w:t>
            </w:r>
          </w:p>
        </w:tc>
      </w:tr>
      <w:tr>
        <w:tc>
          <w:tcPr>
            <w:tcW w:type="dxa" w:w="9360"/>
            <w:tcBorders>
              <w:top w:val="none" w:sz="0"/>
              <w:left w:val="single" w:color="3B82F6" w:sz="12"/>
              <w:bottom w:val="single" w:color="3B82F6" w:sz="1"/>
              <w:right w:val="single" w:color="3B82F6" w:sz="1"/>
            </w:tcBorders>
            <w:tcMar>
              <w:top w:type="dxa" w:w="40"/>
              <w:left w:type="dxa" w:w="200"/>
              <w:bottom w:type="dxa" w:w="120"/>
              <w:right w:type="dxa" w:w="200"/>
            </w:tcMar>
          </w:tcPr>
          <w:p>
            <w:pPr>
              <w:spacing w:line="276"/>
            </w:pPr>
            <w:r>
              <w:rPr>
                <w:rFonts w:ascii="Arial" w:cs="Arial" w:eastAsia="Arial" w:hAnsi="Arial"/>
                <w:color w:val="333333"/>
                <w:sz w:val="20"/>
                <w:szCs w:val="20"/>
              </w:rPr>
              <w:t xml:space="preserve">Transforms signals into scored intelligence. Updates prospect profiles, recalculates Operational Strain Scores, identifies tier threshold crossings, generates alerts on significant score changes. Maintains the rolling Decision Month estimate for each prospect above the engagement threshold.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12"/>
              <w:bottom w:val="none" w:sz="0"/>
              <w:right w:val="single" w:color="8B5CF6" w:sz="1"/>
            </w:tcBorders>
            <w:shd w:fill="F2F2F2" w:val="clear"/>
            <w:tcMar>
              <w:top w:type="dxa" w:w="100"/>
              <w:left w:type="dxa" w:w="200"/>
              <w:bottom w:type="dxa" w:w="40"/>
              <w:right w:type="dxa" w:w="200"/>
            </w:tcMar>
          </w:tcPr>
          <w:p>
            <w:pPr>
              <w:spacing w:after="0"/>
            </w:pPr>
            <w:r>
              <w:rPr>
                <w:rFonts w:ascii="Arial" w:cs="Arial" w:eastAsia="Arial" w:hAnsi="Arial"/>
                <w:b/>
                <w:bCs/>
                <w:color w:val="8B5CF6"/>
                <w:sz w:val="22"/>
                <w:szCs w:val="22"/>
              </w:rPr>
              <w:t xml:space="preserve">STRATEGIST AGENT</w:t>
            </w:r>
            <w:r>
              <w:rPr>
                <w:rFonts w:ascii="Arial" w:cs="Arial" w:eastAsia="Arial" w:hAnsi="Arial"/>
                <w:i/>
                <w:iCs/>
                <w:color w:val="555555"/>
                <w:sz w:val="20"/>
                <w:szCs w:val="20"/>
              </w:rPr>
              <w:t xml:space="preserve">  —  The Voice</w:t>
            </w:r>
          </w:p>
        </w:tc>
      </w:tr>
      <w:tr>
        <w:tc>
          <w:tcPr>
            <w:tcW w:type="dxa" w:w="9360"/>
            <w:tcBorders>
              <w:top w:val="none" w:sz="0"/>
              <w:left w:val="single" w:color="8B5CF6" w:sz="12"/>
              <w:bottom w:val="single" w:color="8B5CF6" w:sz="1"/>
              <w:right w:val="single" w:color="8B5CF6" w:sz="1"/>
            </w:tcBorders>
            <w:tcMar>
              <w:top w:type="dxa" w:w="40"/>
              <w:left w:type="dxa" w:w="200"/>
              <w:bottom w:type="dxa" w:w="120"/>
              <w:right w:type="dxa" w:w="200"/>
            </w:tcMar>
          </w:tcPr>
          <w:p>
            <w:pPr>
              <w:spacing w:line="276"/>
            </w:pPr>
            <w:r>
              <w:rPr>
                <w:rFonts w:ascii="Arial" w:cs="Arial" w:eastAsia="Arial" w:hAnsi="Arial"/>
                <w:color w:val="333333"/>
                <w:sz w:val="20"/>
                <w:szCs w:val="20"/>
              </w:rPr>
              <w:t xml:space="preserve">Converts intelligence into outreach-ready materials. Generates contextual executive briefs using Claude API with system prompts encoding ISPN’s value propositions and competitive differentiators. Recommends outreach channel, timing, and message angle. For existing partners, generates expansion briefs and retention interventions.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2"/>
              <w:bottom w:val="none" w:sz="0"/>
              <w:right w:val="single" w:color="F59E0B" w:sz="1"/>
            </w:tcBorders>
            <w:shd w:fill="F2F2F2" w:val="clear"/>
            <w:tcMar>
              <w:top w:type="dxa" w:w="100"/>
              <w:left w:type="dxa" w:w="200"/>
              <w:bottom w:type="dxa" w:w="40"/>
              <w:right w:type="dxa" w:w="200"/>
            </w:tcMar>
          </w:tcPr>
          <w:p>
            <w:pPr>
              <w:spacing w:after="0"/>
            </w:pPr>
            <w:r>
              <w:rPr>
                <w:rFonts w:ascii="Arial" w:cs="Arial" w:eastAsia="Arial" w:hAnsi="Arial"/>
                <w:b/>
                <w:bCs/>
                <w:color w:val="F59E0B"/>
                <w:sz w:val="22"/>
                <w:szCs w:val="22"/>
              </w:rPr>
              <w:t xml:space="preserve">PLANNER AGENT</w:t>
            </w:r>
            <w:r>
              <w:rPr>
                <w:rFonts w:ascii="Arial" w:cs="Arial" w:eastAsia="Arial" w:hAnsi="Arial"/>
                <w:i/>
                <w:iCs/>
                <w:color w:val="555555"/>
                <w:sz w:val="20"/>
                <w:szCs w:val="20"/>
              </w:rPr>
              <w:t xml:space="preserve">  —  The Operator</w:t>
            </w:r>
          </w:p>
        </w:tc>
      </w:tr>
      <w:tr>
        <w:tc>
          <w:tcPr>
            <w:tcW w:type="dxa" w:w="9360"/>
            <w:tcBorders>
              <w:top w:val="none" w:sz="0"/>
              <w:left w:val="single" w:color="F59E0B" w:sz="12"/>
              <w:bottom w:val="single" w:color="F59E0B" w:sz="1"/>
              <w:right w:val="single" w:color="F59E0B" w:sz="1"/>
            </w:tcBorders>
            <w:tcMar>
              <w:top w:type="dxa" w:w="40"/>
              <w:left w:type="dxa" w:w="200"/>
              <w:bottom w:type="dxa" w:w="120"/>
              <w:right w:type="dxa" w:w="200"/>
            </w:tcMar>
          </w:tcPr>
          <w:p>
            <w:pPr>
              <w:spacing w:line="276"/>
            </w:pPr>
            <w:r>
              <w:rPr>
                <w:rFonts w:ascii="Arial" w:cs="Arial" w:eastAsia="Arial" w:hAnsi="Arial"/>
                <w:color w:val="333333"/>
                <w:sz w:val="20"/>
                <w:szCs w:val="20"/>
              </w:rPr>
              <w:t xml:space="preserve">Translates pipeline intelligence into operational readiness. Monitors aggregate pipeline for projected subscriber additions over rolling 6/12/18-month horizons. Calculates required agent headcount by skill type. Feeds directly into the Workforce Intelligence Suite’s WCS forecasting model.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2"/>
              <w:bottom w:val="none" w:sz="0"/>
              <w:right w:val="single" w:color="EF4444" w:sz="1"/>
            </w:tcBorders>
            <w:shd w:fill="F2F2F2" w:val="clear"/>
            <w:tcMar>
              <w:top w:type="dxa" w:w="100"/>
              <w:left w:type="dxa" w:w="200"/>
              <w:bottom w:type="dxa" w:w="40"/>
              <w:right w:type="dxa" w:w="200"/>
            </w:tcMar>
          </w:tcPr>
          <w:p>
            <w:pPr>
              <w:spacing w:after="0"/>
            </w:pPr>
            <w:r>
              <w:rPr>
                <w:rFonts w:ascii="Arial" w:cs="Arial" w:eastAsia="Arial" w:hAnsi="Arial"/>
                <w:b/>
                <w:bCs/>
                <w:color w:val="EF4444"/>
                <w:sz w:val="22"/>
                <w:szCs w:val="22"/>
              </w:rPr>
              <w:t xml:space="preserve">MONITOR AGENT</w:t>
            </w:r>
            <w:r>
              <w:rPr>
                <w:rFonts w:ascii="Arial" w:cs="Arial" w:eastAsia="Arial" w:hAnsi="Arial"/>
                <w:i/>
                <w:iCs/>
                <w:color w:val="555555"/>
                <w:sz w:val="20"/>
                <w:szCs w:val="20"/>
              </w:rPr>
              <w:t xml:space="preserve">  —  The Memory</w:t>
            </w:r>
          </w:p>
        </w:tc>
      </w:tr>
      <w:tr>
        <w:tc>
          <w:tcPr>
            <w:tcW w:type="dxa" w:w="9360"/>
            <w:tcBorders>
              <w:top w:val="none" w:sz="0"/>
              <w:left w:val="single" w:color="EF4444" w:sz="12"/>
              <w:bottom w:val="single" w:color="EF4444" w:sz="1"/>
              <w:right w:val="single" w:color="EF4444" w:sz="1"/>
            </w:tcBorders>
            <w:tcMar>
              <w:top w:type="dxa" w:w="40"/>
              <w:left w:type="dxa" w:w="200"/>
              <w:bottom w:type="dxa" w:w="120"/>
              <w:right w:type="dxa" w:w="200"/>
            </w:tcMar>
          </w:tcPr>
          <w:p>
            <w:pPr>
              <w:spacing w:line="276"/>
            </w:pPr>
            <w:r>
              <w:rPr>
                <w:rFonts w:ascii="Arial" w:cs="Arial" w:eastAsia="Arial" w:hAnsi="Arial"/>
                <w:color w:val="333333"/>
                <w:sz w:val="20"/>
                <w:szCs w:val="20"/>
              </w:rPr>
              <w:t xml:space="preserve">Closes the feedback loop. Ingests outreach outcomes from Sales, correlates with prospect profiles and scoring factors, and generates quarterly model performance reports with recommended factor weight adjustments. This is the agent that transforms the platform from static tool into learning system.</w:t>
            </w:r>
          </w:p>
        </w:tc>
      </w:tr>
    </w:tbl>
    <w:p>
      <w:pPr>
        <w:spacing w:before="120" w:after="120"/>
      </w:pPr>
    </w:p>
    <w:p>
      <w:pPr>
        <w:spacing w:after="160" w:line="276"/>
      </w:pPr>
      <w:r>
        <w:rPr>
          <w:rFonts w:ascii="Arial" w:cs="Arial" w:eastAsia="Arial" w:hAnsi="Arial"/>
          <w:color w:val="333333"/>
          <w:sz w:val="21"/>
          <w:szCs w:val="21"/>
        </w:rPr>
        <w:t xml:space="preserve">The orchestration layer coordinates agent triggers through n8n workflows. When Scout detects a signal, it triggers Analyst. When Analyst’s rescore crosses a threshold, it triggers Strategist. When Sales reports an outcome, it triggers Monitor. When aggregate pipeline demand changes, it triggers Planner. The system runs continuously without human intervention. A human reviews and approves outreach materials before they reach Sales — this is intelligence augmentation, not automation of the sales relationship.</w:t>
      </w:r>
    </w:p>
    <w:p>
      <w:r>
        <w:br w:type="page"/>
      </w:r>
    </w:p>
    <w:p>
      <w:pPr>
        <w:pStyle w:val="Heading1"/>
        <w:pBdr>
          <w:bottom w:val="single" w:color="2A9D8F" w:sz="6" w:space="8"/>
        </w:pBdr>
        <w:spacing w:before="360" w:after="200"/>
      </w:pPr>
      <w:r>
        <w:rPr>
          <w:rFonts w:ascii="Arial" w:cs="Arial" w:eastAsia="Arial" w:hAnsi="Arial"/>
          <w:b/>
          <w:bCs/>
          <w:color w:val="0D1B2A"/>
          <w:sz w:val="32"/>
          <w:szCs w:val="32"/>
        </w:rPr>
        <w:t xml:space="preserve">PART IV: THE NUMBERS</w:t>
      </w:r>
    </w:p>
    <w:p>
      <w:pPr>
        <w:pStyle w:val="Heading2"/>
        <w:spacing w:before="280" w:after="160"/>
      </w:pPr>
      <w:r>
        <w:rPr>
          <w:rFonts w:ascii="Arial" w:cs="Arial" w:eastAsia="Arial" w:hAnsi="Arial"/>
          <w:b/>
          <w:bCs/>
          <w:color w:val="1B2838"/>
          <w:sz w:val="26"/>
          <w:szCs w:val="26"/>
        </w:rPr>
        <w:t xml:space="preserve">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EST. ISPs</w:t>
            </w:r>
          </w:p>
        </w:tc>
        <w:tc>
          <w:tcPr>
            <w:tcW w:type="dxa" w:w="2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COMBINED FUNDING</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BEAD subgrantees (excl. major carriers)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300–500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$8–$15B</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USDA ReConnect recipients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360+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$5.5B</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State broadband program recipients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100–200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Varies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PE/VC-backed fiber builders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50–100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Billions</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Rural electric cooperative ISPs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100–200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Varies</w:t>
            </w:r>
          </w:p>
        </w:tc>
      </w:tr>
      <w:tr>
        <w:tc>
          <w:tcPr>
            <w:tcW w:type="dxa" w:w="54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TOTAL PROSPECT UNIVERSE</w:t>
            </w:r>
          </w:p>
        </w:tc>
        <w:tc>
          <w:tcPr>
            <w:tcW w:type="dxa" w:w="18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500+</w:t>
            </w:r>
          </w:p>
        </w:tc>
        <w:tc>
          <w:tcPr>
            <w:tcW w:type="dxa" w:w="216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$48B+</w:t>
            </w:r>
          </w:p>
        </w:tc>
      </w:tr>
    </w:tbl>
    <w:p>
      <w:pPr>
        <w:spacing w:before="80" w:after="80"/>
      </w:pPr>
    </w:p>
    <w:p>
      <w:pPr>
        <w:spacing w:after="160" w:line="276"/>
      </w:pPr>
      <w:r>
        <w:rPr>
          <w:rFonts w:ascii="Arial" w:cs="Arial" w:eastAsia="Arial" w:hAnsi="Arial"/>
          <w:color w:val="333333"/>
          <w:sz w:val="21"/>
          <w:szCs w:val="21"/>
        </w:rPr>
        <w:t xml:space="preserve">Qualified prospect pool after filtering: </w:t>
      </w:r>
      <w:r>
        <w:rPr>
          <w:rFonts w:ascii="Arial" w:cs="Arial" w:eastAsia="Arial" w:hAnsi="Arial"/>
          <w:b/>
          <w:bCs/>
          <w:color w:val="0D1B2A"/>
          <w:sz w:val="22"/>
          <w:szCs w:val="22"/>
        </w:rPr>
        <w:t xml:space="preserve">200–350 ISPs</w:t>
      </w:r>
    </w:p>
    <w:p>
      <w:pPr>
        <w:pStyle w:val="Heading2"/>
        <w:spacing w:before="280" w:after="160"/>
      </w:pPr>
      <w:r>
        <w:rPr>
          <w:rFonts w:ascii="Arial" w:cs="Arial" w:eastAsia="Arial" w:hAnsi="Arial"/>
          <w:b/>
          <w:bCs/>
          <w:color w:val="1B2838"/>
          <w:sz w:val="26"/>
          <w:szCs w:val="26"/>
        </w:rPr>
        <w:t xml:space="preserve">Revenue Impact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4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PIPELINE</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NEW ANNUAL REVENUE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Conservative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 new partnerships, Year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2A9D8F"/>
                <w:sz w:val="20"/>
                <w:szCs w:val="20"/>
              </w:rPr>
              <w:t xml:space="preserve">$1.25M – $2.5M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Moderate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 new partnerships, Year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2A9D8F"/>
                <w:sz w:val="20"/>
                <w:szCs w:val="20"/>
              </w:rPr>
              <w:t xml:space="preserve">$2.5M – $5.0M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Aggressive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partnerships by end of Year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2A9D8F"/>
                <w:sz w:val="20"/>
                <w:szCs w:val="20"/>
              </w:rPr>
              <w:t xml:space="preserve">$5.0M – $10.0M</w:t>
            </w:r>
          </w:p>
        </w:tc>
      </w:tr>
    </w:tbl>
    <w:p>
      <w:pPr>
        <w:spacing w:before="80" w:after="80"/>
      </w:pPr>
    </w:p>
    <w:p>
      <w:pPr>
        <w:spacing w:after="160" w:line="276"/>
      </w:pPr>
      <w:r>
        <w:rPr>
          <w:rFonts w:ascii="Arial" w:cs="Arial" w:eastAsia="Arial" w:hAnsi="Arial"/>
          <w:color w:val="333333"/>
          <w:sz w:val="21"/>
          <w:szCs w:val="21"/>
        </w:rPr>
        <w:t xml:space="preserve">Partner retention impact: </w:t>
      </w:r>
      <w:r>
        <w:rPr>
          <w:rFonts w:ascii="Arial" w:cs="Arial" w:eastAsia="Arial" w:hAnsi="Arial"/>
          <w:b/>
          <w:bCs/>
          <w:color w:val="0D1B2A"/>
          <w:sz w:val="21"/>
          <w:szCs w:val="21"/>
        </w:rPr>
        <w:t xml:space="preserve">Preventing one LigTel-sized termination per year = $300K–$800K in retained revenue annually.</w:t>
      </w:r>
    </w:p>
    <w:p>
      <w:pPr>
        <w:pStyle w:val="Heading2"/>
        <w:spacing w:before="280" w:after="160"/>
      </w:pPr>
      <w:r>
        <w:rPr>
          <w:rFonts w:ascii="Arial" w:cs="Arial" w:eastAsia="Arial" w:hAnsi="Arial"/>
          <w:b/>
          <w:bCs/>
          <w:color w:val="1B2838"/>
          <w:sz w:val="26"/>
          <w:szCs w:val="26"/>
        </w:rPr>
        <w:t xml:space="preserve">Platform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Development (one-time engineering)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D1B2A"/>
                <w:sz w:val="20"/>
                <w:szCs w:val="20"/>
              </w:rPr>
              <w:t xml:space="preserve">$30K – $50K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Ongoing monthly (APIs, verification, hosting)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D1B2A"/>
                <w:sz w:val="20"/>
                <w:szCs w:val="20"/>
              </w:rPr>
              <w:t xml:space="preserve">$150 – $200/mo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Year 1 Total Investment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color w:val="0D1B2A"/>
                <w:sz w:val="20"/>
                <w:szCs w:val="20"/>
              </w:rPr>
              <w:t xml:space="preserve">$35K – $55K</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9D8F" w:sz="18"/>
              <w:bottom w:val="none" w:sz="0"/>
              <w:right w:val="none" w:sz="0"/>
            </w:tcBorders>
            <w:shd w:fill="F2F2F2" w:val="clear"/>
            <w:tcMar>
              <w:top w:type="dxa" w:w="120"/>
              <w:left w:type="dxa" w:w="200"/>
              <w:bottom w:type="dxa" w:w="120"/>
              <w:right w:type="dxa" w:w="200"/>
            </w:tcMar>
          </w:tcPr>
          <w:p>
            <w:pPr>
              <w:spacing w:after="80" w:line="276"/>
            </w:pPr>
            <w:r>
              <w:rPr>
                <w:rFonts w:ascii="Arial" w:cs="Arial" w:eastAsia="Arial" w:hAnsi="Arial"/>
                <w:b/>
                <w:bCs/>
                <w:color w:val="0D1B2A"/>
                <w:sz w:val="24"/>
                <w:szCs w:val="24"/>
              </w:rPr>
              <w:t xml:space="preserve">ROI at conservative scenario: 25:1 to 70:1</w:t>
            </w:r>
          </w:p>
          <w:p>
            <w:pPr>
              <w:spacing w:after="80" w:line="276"/>
            </w:pPr>
            <w:r>
              <w:rPr>
                <w:rFonts w:ascii="Arial" w:cs="Arial" w:eastAsia="Arial" w:hAnsi="Arial"/>
                <w:i/>
                <w:iCs/>
                <w:color w:val="555555"/>
                <w:sz w:val="21"/>
                <w:szCs w:val="21"/>
              </w:rPr>
              <w:t xml:space="preserve">The platform pays for itself with a fraction of the first deal closed.</w:t>
            </w:r>
          </w:p>
        </w:tc>
      </w:tr>
    </w:tbl>
    <w:p>
      <w:pPr>
        <w:pBdr>
          <w:top w:val="single" w:color="CCCCCC" w:sz="2" w:space="8"/>
        </w:pBdr>
        <w:spacing w:before="200"/>
        <w:jc w:val="center"/>
      </w:pPr>
      <w:r>
        <w:rPr>
          <w:rFonts w:ascii="Arial" w:cs="Arial" w:eastAsia="Arial" w:hAnsi="Arial"/>
          <w:i/>
          <w:iCs/>
          <w:color w:val="555555"/>
          <w:sz w:val="18"/>
          <w:szCs w:val="18"/>
        </w:rPr>
        <w:t xml:space="preserve">This document expands the December 2025 Idea Tank concept that won ISPN’s innovation award. Every capability described uses technology available today. Every data source is public. Every cost estimate is based on actual tool pricing. The only question is whether ISPN builds this before someone else does.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555555"/>
        <w:sz w:val="16"/>
        <w:szCs w:val="16"/>
      </w:rPr>
      <w:t xml:space="preserve">Pete Connor  |  February 2026</w:t>
    </w:r>
    <w: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2" w:space="4"/>
      </w:pBdr>
      <w:tabs>
        <w:tab w:val="right" w:pos="9026"/>
      </w:tabs>
    </w:pPr>
    <w:r>
      <w:rPr>
        <w:rFonts w:ascii="Arial" w:cs="Arial" w:eastAsia="Arial" w:hAnsi="Arial"/>
        <w:color w:val="555555"/>
        <w:sz w:val="16"/>
        <w:szCs w:val="16"/>
      </w:rPr>
      <w:t xml:space="preserve">BROADBAND PARTNER INTELLIGENCE PLATFORM</w:t>
    </w:r>
    <w:r>
      <w:t xml:space="preserve">	</w:t>
    </w:r>
    <w:r>
      <w:rPr>
        <w:rFonts w:ascii="Arial" w:cs="Arial" w:eastAsia="Arial" w:hAnsi="Arial"/>
        <w:color w:val="CCCCCC"/>
        <w:sz w:val="16"/>
        <w:szCs w:val="16"/>
      </w:rPr>
      <w:t xml:space="preserve">ISPN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83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A9D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2026-02-17T00:16:58.386Z</dcterms:created>
  <dcterms:modified xsi:type="dcterms:W3CDTF">2026-02-17T00:16:58.387Z</dcterms:modified>
</cp:coreProperties>
</file>

<file path=docProps/custom.xml><?xml version="1.0" encoding="utf-8"?>
<Properties xmlns="http://schemas.openxmlformats.org/officeDocument/2006/custom-properties" xmlns:vt="http://schemas.openxmlformats.org/officeDocument/2006/docPropsVTypes"/>
</file>