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73FFE95A" w:rsidR="00FF703E" w:rsidRPr="003634FB" w:rsidRDefault="00FF703E" w:rsidP="003634FB">
      <w:pPr>
        <w:rPr>
          <w:i/>
          <w:iCs/>
        </w:rPr>
      </w:pPr>
      <w:r w:rsidRPr="003634FB">
        <w:rPr>
          <w:b/>
          <w:bCs/>
        </w:rPr>
        <w:t>Name:</w:t>
      </w:r>
      <w:r w:rsidRPr="003634FB">
        <w:t xml:space="preserve"> </w:t>
      </w:r>
      <w:r w:rsidRPr="003634FB">
        <w:tab/>
      </w:r>
      <w:r w:rsidRPr="003634FB">
        <w:tab/>
      </w:r>
      <w:r w:rsidR="00777EF0">
        <w:rPr>
          <w:i/>
          <w:iCs/>
        </w:rPr>
        <w:t>Mason Kelly-Scholes</w:t>
      </w:r>
      <w:r w:rsidRPr="003634FB">
        <w:tab/>
      </w:r>
      <w:r w:rsidRPr="003634FB">
        <w:tab/>
      </w:r>
      <w:r w:rsidRPr="003634FB">
        <w:tab/>
      </w:r>
      <w:r w:rsidRPr="003634FB">
        <w:rPr>
          <w:b/>
          <w:bCs/>
        </w:rPr>
        <w:t>ID number:</w:t>
      </w:r>
      <w:r w:rsidRPr="003634FB">
        <w:tab/>
      </w:r>
      <w:r w:rsidR="00777EF0">
        <w:rPr>
          <w:i/>
          <w:iCs/>
        </w:rPr>
        <w:t>23679754</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w:t>
      </w:r>
      <w:proofErr w:type="gramStart"/>
      <w:r w:rsidR="00CD3921">
        <w:t>60 mark</w:t>
      </w:r>
      <w:proofErr w:type="gramEnd"/>
      <w:r w:rsidR="00CD3921">
        <w:t xml:space="preserve">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1151"/>
        <w:gridCol w:w="3299"/>
        <w:gridCol w:w="4566"/>
      </w:tblGrid>
      <w:tr w:rsidR="00B247E2" w:rsidRPr="003634FB" w14:paraId="7B48E3BD" w14:textId="77777777" w:rsidTr="00B247E2">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B247E2" w:rsidRPr="003634FB" w14:paraId="035D9642" w14:textId="77777777" w:rsidTr="00B247E2">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1B1B5A22" w14:textId="510F90F6" w:rsidR="003634FB" w:rsidRPr="00CD3921" w:rsidRDefault="00777EF0" w:rsidP="003634FB">
            <w:pPr>
              <w:rPr>
                <w:sz w:val="20"/>
                <w:szCs w:val="20"/>
              </w:rPr>
            </w:pPr>
            <w:r w:rsidRPr="00777EF0">
              <w:rPr>
                <w:sz w:val="20"/>
                <w:szCs w:val="20"/>
              </w:rPr>
              <w:t xml:space="preserve">A </w:t>
            </w:r>
            <w:proofErr w:type="spellStart"/>
            <w:proofErr w:type="gramStart"/>
            <w:r w:rsidRPr="00777EF0">
              <w:rPr>
                <w:sz w:val="20"/>
                <w:szCs w:val="20"/>
              </w:rPr>
              <w:t>glm</w:t>
            </w:r>
            <w:proofErr w:type="spellEnd"/>
            <w:r w:rsidRPr="00777EF0">
              <w:rPr>
                <w:sz w:val="20"/>
                <w:szCs w:val="20"/>
              </w:rPr>
              <w:t>::</w:t>
            </w:r>
            <w:proofErr w:type="gramEnd"/>
            <w:r w:rsidRPr="00777EF0">
              <w:rPr>
                <w:sz w:val="20"/>
                <w:szCs w:val="20"/>
              </w:rPr>
              <w:t>mat4 translation matrix is created in the main function to position the textured quad. This matrix is passed as a uniform (transformation) to the vertex shader, demonstrating the use of matrix transformations in rendering.</w:t>
            </w:r>
            <w:r>
              <w:rPr>
                <w:sz w:val="20"/>
                <w:szCs w:val="20"/>
              </w:rPr>
              <w:t xml:space="preserve"> (Line 212-218)</w:t>
            </w:r>
          </w:p>
        </w:tc>
      </w:tr>
      <w:tr w:rsidR="00B247E2" w:rsidRPr="003634FB" w14:paraId="729A9711" w14:textId="77777777" w:rsidTr="00B247E2">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w:t>
            </w:r>
            <w:proofErr w:type="spellStart"/>
            <w:r w:rsidRPr="00CD3921">
              <w:rPr>
                <w:sz w:val="20"/>
                <w:szCs w:val="20"/>
              </w:rPr>
              <w:t>CMake</w:t>
            </w:r>
            <w:proofErr w:type="spellEnd"/>
            <w:r w:rsidRPr="00CD3921">
              <w:rPr>
                <w:sz w:val="20"/>
                <w:szCs w:val="20"/>
              </w:rPr>
              <w:t xml:space="preserve"> file. </w:t>
            </w:r>
          </w:p>
        </w:tc>
        <w:tc>
          <w:tcPr>
            <w:tcW w:w="4059" w:type="dxa"/>
            <w:vAlign w:val="center"/>
          </w:tcPr>
          <w:p w14:paraId="4A3872D8" w14:textId="79A980D9" w:rsidR="003634FB" w:rsidRPr="00CD3921" w:rsidRDefault="00777EF0" w:rsidP="003634FB">
            <w:pPr>
              <w:rPr>
                <w:sz w:val="20"/>
                <w:szCs w:val="20"/>
              </w:rPr>
            </w:pPr>
            <w:r w:rsidRPr="00777EF0">
              <w:rPr>
                <w:noProof/>
                <w:sz w:val="20"/>
                <w:szCs w:val="20"/>
              </w:rPr>
              <w:drawing>
                <wp:inline distT="0" distB="0" distL="0" distR="0" wp14:anchorId="76C0FC7D" wp14:editId="06C06F43">
                  <wp:extent cx="2467610" cy="1936759"/>
                  <wp:effectExtent l="0" t="0" r="8890" b="6350"/>
                  <wp:docPr id="165087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75782" name=""/>
                          <pic:cNvPicPr/>
                        </pic:nvPicPr>
                        <pic:blipFill>
                          <a:blip r:embed="rId6"/>
                          <a:stretch>
                            <a:fillRect/>
                          </a:stretch>
                        </pic:blipFill>
                        <pic:spPr>
                          <a:xfrm>
                            <a:off x="0" y="0"/>
                            <a:ext cx="2482398" cy="1948366"/>
                          </a:xfrm>
                          <a:prstGeom prst="rect">
                            <a:avLst/>
                          </a:prstGeom>
                        </pic:spPr>
                      </pic:pic>
                    </a:graphicData>
                  </a:graphic>
                </wp:inline>
              </w:drawing>
            </w:r>
          </w:p>
        </w:tc>
      </w:tr>
      <w:tr w:rsidR="00B247E2" w:rsidRPr="003634FB" w14:paraId="5F0268D8" w14:textId="77777777" w:rsidTr="00B247E2">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3FA29065" w:rsidR="003634FB" w:rsidRPr="00CD3921" w:rsidRDefault="00777EF0" w:rsidP="003634FB">
            <w:pPr>
              <w:rPr>
                <w:sz w:val="20"/>
                <w:szCs w:val="20"/>
              </w:rPr>
            </w:pPr>
            <w:r w:rsidRPr="00777EF0">
              <w:rPr>
                <w:sz w:val="20"/>
                <w:szCs w:val="20"/>
              </w:rPr>
              <w:t xml:space="preserve">A texture (crate.jpg) is loaded and applied to a quad using vertex and fragment shaders. UV coordinates are passed to the shaders and used to sample the texture with sampler2D in the fragment shader. The final </w:t>
            </w:r>
            <w:proofErr w:type="spellStart"/>
            <w:r w:rsidRPr="00777EF0">
              <w:rPr>
                <w:sz w:val="20"/>
                <w:szCs w:val="20"/>
              </w:rPr>
              <w:t>color</w:t>
            </w:r>
            <w:proofErr w:type="spellEnd"/>
            <w:r w:rsidRPr="00777EF0">
              <w:rPr>
                <w:sz w:val="20"/>
                <w:szCs w:val="20"/>
              </w:rPr>
              <w:t xml:space="preserve"> is based on the texture, confirming correct shader-based texture mapping.</w:t>
            </w:r>
            <w:r w:rsidR="0059261E">
              <w:rPr>
                <w:sz w:val="20"/>
                <w:szCs w:val="20"/>
              </w:rPr>
              <w:t xml:space="preserve"> (Lines 139-148 169-199)</w:t>
            </w:r>
          </w:p>
        </w:tc>
      </w:tr>
      <w:tr w:rsidR="00B247E2" w:rsidRPr="003634FB" w14:paraId="26CA08AF" w14:textId="77777777" w:rsidTr="00B247E2">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5E87E938" w:rsidR="003634FB" w:rsidRPr="00CD3921" w:rsidRDefault="00655BAF" w:rsidP="003634FB">
            <w:pPr>
              <w:rPr>
                <w:sz w:val="20"/>
                <w:szCs w:val="20"/>
              </w:rPr>
            </w:pPr>
            <w:r w:rsidRPr="00655BAF">
              <w:rPr>
                <w:sz w:val="20"/>
                <w:szCs w:val="20"/>
              </w:rPr>
              <w:t xml:space="preserve">A </w:t>
            </w:r>
            <w:proofErr w:type="spellStart"/>
            <w:proofErr w:type="gramStart"/>
            <w:r w:rsidRPr="00655BAF">
              <w:rPr>
                <w:sz w:val="20"/>
                <w:szCs w:val="20"/>
              </w:rPr>
              <w:t>glm</w:t>
            </w:r>
            <w:proofErr w:type="spellEnd"/>
            <w:r w:rsidRPr="00655BAF">
              <w:rPr>
                <w:sz w:val="20"/>
                <w:szCs w:val="20"/>
              </w:rPr>
              <w:t>::</w:t>
            </w:r>
            <w:proofErr w:type="gramEnd"/>
            <w:r w:rsidRPr="00655BAF">
              <w:rPr>
                <w:sz w:val="20"/>
                <w:szCs w:val="20"/>
              </w:rPr>
              <w:t>mat4 translation matrix, rotation matrix, and scaling matrix are created in the main function to transform the textured quad. These matrices are combined into a single transformation matrix and passed as a uniform to the vertex shader, demonstrating the use of basic translation, rotation, and scaling transformations in OpenGL.</w:t>
            </w:r>
            <w:r>
              <w:rPr>
                <w:sz w:val="20"/>
                <w:szCs w:val="20"/>
              </w:rPr>
              <w:t xml:space="preserve">  (Lines 216-236)</w:t>
            </w:r>
            <w:r>
              <w:t xml:space="preserve"> </w:t>
            </w:r>
            <w:r>
              <w:rPr>
                <w:noProof/>
              </w:rPr>
              <w:drawing>
                <wp:inline distT="0" distB="0" distL="0" distR="0" wp14:anchorId="1E4E68B3" wp14:editId="206603A8">
                  <wp:extent cx="2762218" cy="2144137"/>
                  <wp:effectExtent l="0" t="0" r="635" b="8890"/>
                  <wp:docPr id="192936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7120" cy="2178991"/>
                          </a:xfrm>
                          <a:prstGeom prst="rect">
                            <a:avLst/>
                          </a:prstGeom>
                          <a:noFill/>
                          <a:ln>
                            <a:noFill/>
                          </a:ln>
                        </pic:spPr>
                      </pic:pic>
                    </a:graphicData>
                  </a:graphic>
                </wp:inline>
              </w:drawing>
            </w:r>
          </w:p>
        </w:tc>
      </w:tr>
      <w:tr w:rsidR="00B247E2" w:rsidRPr="003634FB" w14:paraId="1503E135" w14:textId="77777777" w:rsidTr="00B247E2">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 xml:space="preserve">LO1: Implementation of </w:t>
            </w:r>
            <w:proofErr w:type="spellStart"/>
            <w:r w:rsidRPr="00CD3921">
              <w:rPr>
                <w:sz w:val="20"/>
                <w:szCs w:val="20"/>
              </w:rPr>
              <w:t>glm</w:t>
            </w:r>
            <w:proofErr w:type="spellEnd"/>
            <w:r w:rsidRPr="00CD3921">
              <w:rPr>
                <w:sz w:val="20"/>
                <w:szCs w:val="20"/>
              </w:rPr>
              <w:t xml:space="preserve"> library functions for calculating view and projection matrices.</w:t>
            </w:r>
          </w:p>
        </w:tc>
        <w:tc>
          <w:tcPr>
            <w:tcW w:w="4059" w:type="dxa"/>
            <w:vAlign w:val="center"/>
          </w:tcPr>
          <w:p w14:paraId="64B87F98" w14:textId="4EB8B281" w:rsidR="003634FB" w:rsidRPr="00CD3921" w:rsidRDefault="00655BAF" w:rsidP="003634FB">
            <w:pPr>
              <w:rPr>
                <w:sz w:val="20"/>
                <w:szCs w:val="20"/>
              </w:rPr>
            </w:pPr>
            <w:r w:rsidRPr="00655BAF">
              <w:rPr>
                <w:sz w:val="20"/>
                <w:szCs w:val="20"/>
              </w:rPr>
              <w:t xml:space="preserve">The program uses the Camera class to calculate both the view matrix (via </w:t>
            </w:r>
            <w:proofErr w:type="spellStart"/>
            <w:proofErr w:type="gramStart"/>
            <w:r w:rsidRPr="00655BAF">
              <w:rPr>
                <w:sz w:val="20"/>
                <w:szCs w:val="20"/>
              </w:rPr>
              <w:t>glm</w:t>
            </w:r>
            <w:proofErr w:type="spellEnd"/>
            <w:r w:rsidRPr="00655BAF">
              <w:rPr>
                <w:sz w:val="20"/>
                <w:szCs w:val="20"/>
              </w:rPr>
              <w:t>::</w:t>
            </w:r>
            <w:proofErr w:type="spellStart"/>
            <w:proofErr w:type="gramEnd"/>
            <w:r w:rsidRPr="00655BAF">
              <w:rPr>
                <w:sz w:val="20"/>
                <w:szCs w:val="20"/>
              </w:rPr>
              <w:t>lookAt</w:t>
            </w:r>
            <w:proofErr w:type="spellEnd"/>
            <w:r w:rsidRPr="00655BAF">
              <w:rPr>
                <w:sz w:val="20"/>
                <w:szCs w:val="20"/>
              </w:rPr>
              <w:t xml:space="preserve">) and the projection matrix (via </w:t>
            </w:r>
            <w:proofErr w:type="spellStart"/>
            <w:proofErr w:type="gramStart"/>
            <w:r w:rsidRPr="00655BAF">
              <w:rPr>
                <w:sz w:val="20"/>
                <w:szCs w:val="20"/>
              </w:rPr>
              <w:t>glm</w:t>
            </w:r>
            <w:proofErr w:type="spellEnd"/>
            <w:r w:rsidRPr="00655BAF">
              <w:rPr>
                <w:sz w:val="20"/>
                <w:szCs w:val="20"/>
              </w:rPr>
              <w:t>::</w:t>
            </w:r>
            <w:proofErr w:type="gramEnd"/>
            <w:r w:rsidRPr="00655BAF">
              <w:rPr>
                <w:sz w:val="20"/>
                <w:szCs w:val="20"/>
              </w:rPr>
              <w:t xml:space="preserve">perspective). These matrices are used to construct the MVP matrix passed to the vertex shader, demonstrating the use of </w:t>
            </w:r>
            <w:proofErr w:type="spellStart"/>
            <w:r w:rsidRPr="00655BAF">
              <w:rPr>
                <w:sz w:val="20"/>
                <w:szCs w:val="20"/>
              </w:rPr>
              <w:t>glm</w:t>
            </w:r>
            <w:proofErr w:type="spellEnd"/>
            <w:r w:rsidRPr="00655BAF">
              <w:rPr>
                <w:sz w:val="20"/>
                <w:szCs w:val="20"/>
              </w:rPr>
              <w:t xml:space="preserve"> library functions for camera and perspective setup.</w:t>
            </w:r>
          </w:p>
        </w:tc>
      </w:tr>
      <w:tr w:rsidR="00B247E2" w:rsidRPr="003634FB" w14:paraId="5010AA7C" w14:textId="77777777" w:rsidTr="00B247E2">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5237413D" w:rsidR="003634FB" w:rsidRPr="00CD3921" w:rsidRDefault="00655BAF" w:rsidP="003634FB">
            <w:pPr>
              <w:rPr>
                <w:sz w:val="20"/>
                <w:szCs w:val="20"/>
              </w:rPr>
            </w:pPr>
            <w:r w:rsidRPr="00655BAF">
              <w:rPr>
                <w:sz w:val="20"/>
                <w:szCs w:val="20"/>
              </w:rPr>
              <w:t>A 3D virtual world is created by instantiating multiple objects of a single type (Object struct representing cubes) with different positions, rotations, scales, and angles. These instances are stored in a vector and rendered individually in the scene, demonstrating the use of multiple instances of one object type to build the virtual</w:t>
            </w:r>
            <w:r w:rsidR="00A66404">
              <w:rPr>
                <w:sz w:val="20"/>
                <w:szCs w:val="20"/>
              </w:rPr>
              <w:t xml:space="preserve"> </w:t>
            </w:r>
            <w:r w:rsidRPr="00655BAF">
              <w:rPr>
                <w:sz w:val="20"/>
                <w:szCs w:val="20"/>
              </w:rPr>
              <w:t>world.</w:t>
            </w:r>
            <w:r>
              <w:rPr>
                <w:noProof/>
              </w:rPr>
              <w:t xml:space="preserve"> </w:t>
            </w:r>
            <w:r w:rsidRPr="00655BAF">
              <w:rPr>
                <w:noProof/>
                <w:sz w:val="20"/>
                <w:szCs w:val="20"/>
              </w:rPr>
              <w:drawing>
                <wp:inline distT="0" distB="0" distL="0" distR="0" wp14:anchorId="19FD35C1" wp14:editId="777DF30C">
                  <wp:extent cx="2466975" cy="1562664"/>
                  <wp:effectExtent l="0" t="0" r="0" b="0"/>
                  <wp:docPr id="207510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01672" name=""/>
                          <pic:cNvPicPr/>
                        </pic:nvPicPr>
                        <pic:blipFill>
                          <a:blip r:embed="rId8"/>
                          <a:stretch>
                            <a:fillRect/>
                          </a:stretch>
                        </pic:blipFill>
                        <pic:spPr>
                          <a:xfrm>
                            <a:off x="0" y="0"/>
                            <a:ext cx="2503287" cy="1585665"/>
                          </a:xfrm>
                          <a:prstGeom prst="rect">
                            <a:avLst/>
                          </a:prstGeom>
                        </pic:spPr>
                      </pic:pic>
                    </a:graphicData>
                  </a:graphic>
                </wp:inline>
              </w:drawing>
            </w:r>
          </w:p>
        </w:tc>
      </w:tr>
      <w:tr w:rsidR="00B247E2" w:rsidRPr="003634FB" w14:paraId="5235E936" w14:textId="77777777" w:rsidTr="00B247E2">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223926D4" w:rsidR="003634FB" w:rsidRPr="00CD3921" w:rsidRDefault="00B247E2" w:rsidP="003634FB">
            <w:pPr>
              <w:rPr>
                <w:sz w:val="20"/>
                <w:szCs w:val="20"/>
              </w:rPr>
            </w:pPr>
            <w:r w:rsidRPr="00B247E2">
              <w:rPr>
                <w:sz w:val="20"/>
                <w:szCs w:val="20"/>
              </w:rPr>
              <w:t xml:space="preserve">The program implements dynamic lighting by passing point light properties—such as position and </w:t>
            </w:r>
            <w:proofErr w:type="spellStart"/>
            <w:r w:rsidRPr="00B247E2">
              <w:rPr>
                <w:sz w:val="20"/>
                <w:szCs w:val="20"/>
              </w:rPr>
              <w:t>color</w:t>
            </w:r>
            <w:proofErr w:type="spellEnd"/>
            <w:r w:rsidRPr="00B247E2">
              <w:rPr>
                <w:sz w:val="20"/>
                <w:szCs w:val="20"/>
              </w:rPr>
              <w:t>—to the fragment shader as uniforms. The shader calculates ambient, diffuse, and specular reflections using the Phong lighting model, with lighting computations performed per fragment to create realistic lighting effects that respond to the light source position in view space.</w:t>
            </w:r>
            <w:r>
              <w:rPr>
                <w:sz w:val="20"/>
                <w:szCs w:val="20"/>
              </w:rPr>
              <w:br/>
            </w:r>
            <w:r w:rsidRPr="00B247E2">
              <w:rPr>
                <w:sz w:val="20"/>
                <w:szCs w:val="20"/>
              </w:rPr>
              <w:drawing>
                <wp:inline distT="0" distB="0" distL="0" distR="0" wp14:anchorId="05935A0D" wp14:editId="7DE451CE">
                  <wp:extent cx="2305068" cy="1800977"/>
                  <wp:effectExtent l="0" t="0" r="0" b="8890"/>
                  <wp:docPr id="141934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49841" name=""/>
                          <pic:cNvPicPr/>
                        </pic:nvPicPr>
                        <pic:blipFill>
                          <a:blip r:embed="rId9"/>
                          <a:stretch>
                            <a:fillRect/>
                          </a:stretch>
                        </pic:blipFill>
                        <pic:spPr>
                          <a:xfrm>
                            <a:off x="0" y="0"/>
                            <a:ext cx="2318579" cy="1811534"/>
                          </a:xfrm>
                          <a:prstGeom prst="rect">
                            <a:avLst/>
                          </a:prstGeom>
                        </pic:spPr>
                      </pic:pic>
                    </a:graphicData>
                  </a:graphic>
                </wp:inline>
              </w:drawing>
            </w:r>
          </w:p>
        </w:tc>
      </w:tr>
      <w:tr w:rsidR="00B247E2" w:rsidRPr="003634FB" w14:paraId="61605B75" w14:textId="77777777" w:rsidTr="00B247E2">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77777777" w:rsidR="003634FB" w:rsidRPr="00CD3921" w:rsidRDefault="003634FB" w:rsidP="00CD3921">
            <w:pPr>
              <w:keepNext/>
              <w:keepLines/>
              <w:rPr>
                <w:sz w:val="20"/>
                <w:szCs w:val="20"/>
              </w:rPr>
            </w:pPr>
          </w:p>
        </w:tc>
      </w:tr>
      <w:tr w:rsidR="00B247E2" w:rsidRPr="003634FB" w14:paraId="5C2030CF" w14:textId="77777777" w:rsidTr="00B247E2">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77777777" w:rsidR="003634FB" w:rsidRPr="00CD3921" w:rsidRDefault="003634FB" w:rsidP="00CD3921">
            <w:pPr>
              <w:keepNext/>
              <w:keepLines/>
              <w:rPr>
                <w:sz w:val="20"/>
                <w:szCs w:val="20"/>
              </w:rPr>
            </w:pPr>
          </w:p>
        </w:tc>
      </w:tr>
      <w:tr w:rsidR="00B247E2" w:rsidRPr="003634FB" w14:paraId="6A451BA9" w14:textId="77777777" w:rsidTr="00B247E2">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77777777" w:rsidR="003634FB" w:rsidRPr="00CD3921" w:rsidRDefault="003634FB" w:rsidP="00CD3921">
            <w:pPr>
              <w:keepNext/>
              <w:keepLines/>
              <w:rPr>
                <w:sz w:val="20"/>
                <w:szCs w:val="20"/>
              </w:rPr>
            </w:pPr>
          </w:p>
        </w:tc>
      </w:tr>
      <w:tr w:rsidR="00B247E2" w:rsidRPr="003634FB" w14:paraId="4E07D1AF" w14:textId="77777777" w:rsidTr="00B247E2">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77777777" w:rsidR="003634FB" w:rsidRPr="00CD3921" w:rsidRDefault="003634FB" w:rsidP="00CD3921">
            <w:pPr>
              <w:keepLines/>
              <w:rPr>
                <w:sz w:val="20"/>
                <w:szCs w:val="20"/>
              </w:rPr>
            </w:pPr>
          </w:p>
        </w:tc>
      </w:tr>
      <w:tr w:rsidR="00B247E2" w:rsidRPr="003634FB" w14:paraId="628FD117" w14:textId="77777777" w:rsidTr="00B247E2">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 xml:space="preserve">LO1: Implementation of students own functions to replace </w:t>
            </w:r>
            <w:proofErr w:type="spellStart"/>
            <w:r w:rsidRPr="00CD3921">
              <w:rPr>
                <w:sz w:val="20"/>
                <w:szCs w:val="20"/>
              </w:rPr>
              <w:t>glm</w:t>
            </w:r>
            <w:proofErr w:type="spellEnd"/>
            <w:r w:rsidRPr="00CD3921">
              <w:rPr>
                <w:sz w:val="20"/>
                <w:szCs w:val="20"/>
              </w:rPr>
              <w:t xml:space="preserve"> functions (e.g., </w:t>
            </w:r>
            <w:proofErr w:type="spellStart"/>
            <w:proofErr w:type="gramStart"/>
            <w:r w:rsidRPr="00CD3921">
              <w:rPr>
                <w:sz w:val="20"/>
                <w:szCs w:val="20"/>
              </w:rPr>
              <w:t>glm</w:t>
            </w:r>
            <w:proofErr w:type="spellEnd"/>
            <w:r w:rsidRPr="00CD3921">
              <w:rPr>
                <w:sz w:val="20"/>
                <w:szCs w:val="20"/>
              </w:rPr>
              <w:t>::length(</w:t>
            </w:r>
            <w:proofErr w:type="gramEnd"/>
            <w:r w:rsidRPr="00CD3921">
              <w:rPr>
                <w:sz w:val="20"/>
                <w:szCs w:val="20"/>
              </w:rPr>
              <w:t xml:space="preserve">), </w:t>
            </w:r>
            <w:proofErr w:type="spellStart"/>
            <w:proofErr w:type="gramStart"/>
            <w:r w:rsidRPr="00CD3921">
              <w:rPr>
                <w:sz w:val="20"/>
                <w:szCs w:val="20"/>
              </w:rPr>
              <w:t>glm</w:t>
            </w:r>
            <w:proofErr w:type="spellEnd"/>
            <w:r w:rsidRPr="00CD3921">
              <w:rPr>
                <w:sz w:val="20"/>
                <w:szCs w:val="20"/>
              </w:rPr>
              <w:t>::dot(</w:t>
            </w:r>
            <w:proofErr w:type="gramEnd"/>
            <w:r w:rsidRPr="00CD3921">
              <w:rPr>
                <w:sz w:val="20"/>
                <w:szCs w:val="20"/>
              </w:rPr>
              <w:t xml:space="preserve">), </w:t>
            </w:r>
            <w:proofErr w:type="spellStart"/>
            <w:proofErr w:type="gramStart"/>
            <w:r w:rsidRPr="00CD3921">
              <w:rPr>
                <w:sz w:val="20"/>
                <w:szCs w:val="20"/>
              </w:rPr>
              <w:t>glm</w:t>
            </w:r>
            <w:proofErr w:type="spellEnd"/>
            <w:r w:rsidRPr="00CD3921">
              <w:rPr>
                <w:sz w:val="20"/>
                <w:szCs w:val="20"/>
              </w:rPr>
              <w:t>::cross(</w:t>
            </w:r>
            <w:proofErr w:type="gramEnd"/>
            <w:r w:rsidRPr="00CD3921">
              <w:rPr>
                <w:sz w:val="20"/>
                <w:szCs w:val="20"/>
              </w:rPr>
              <w:t>) etc.).</w:t>
            </w:r>
          </w:p>
        </w:tc>
        <w:tc>
          <w:tcPr>
            <w:tcW w:w="4059" w:type="dxa"/>
            <w:vAlign w:val="center"/>
          </w:tcPr>
          <w:p w14:paraId="2A999FAF" w14:textId="77777777" w:rsidR="003634FB" w:rsidRPr="00CD3921" w:rsidRDefault="003634FB" w:rsidP="003634FB">
            <w:pPr>
              <w:rPr>
                <w:sz w:val="20"/>
                <w:szCs w:val="20"/>
              </w:rPr>
            </w:pPr>
          </w:p>
        </w:tc>
      </w:tr>
      <w:tr w:rsidR="00B247E2" w:rsidRPr="003634FB" w14:paraId="12AB460B" w14:textId="77777777" w:rsidTr="00B247E2">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77777777" w:rsidR="003634FB" w:rsidRPr="00CD3921" w:rsidRDefault="003634FB" w:rsidP="003634FB">
            <w:pPr>
              <w:rPr>
                <w:sz w:val="20"/>
                <w:szCs w:val="20"/>
              </w:rPr>
            </w:pPr>
          </w:p>
        </w:tc>
      </w:tr>
      <w:tr w:rsidR="00B247E2" w:rsidRPr="003634FB" w14:paraId="66805171" w14:textId="77777777" w:rsidTr="00B247E2">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77777777" w:rsidR="003634FB" w:rsidRPr="00CD3921" w:rsidRDefault="003634FB" w:rsidP="003634FB">
            <w:pPr>
              <w:rPr>
                <w:sz w:val="20"/>
                <w:szCs w:val="20"/>
              </w:rPr>
            </w:pPr>
          </w:p>
        </w:tc>
      </w:tr>
      <w:tr w:rsidR="00B247E2" w:rsidRPr="003634FB" w14:paraId="30E68641" w14:textId="77777777" w:rsidTr="00B247E2">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77777777" w:rsidR="003634FB" w:rsidRPr="00CD3921" w:rsidRDefault="003634FB" w:rsidP="003634FB">
            <w:pPr>
              <w:rPr>
                <w:sz w:val="20"/>
                <w:szCs w:val="20"/>
              </w:rPr>
            </w:pPr>
          </w:p>
        </w:tc>
      </w:tr>
      <w:tr w:rsidR="00B247E2" w:rsidRPr="003634FB" w14:paraId="55964FCB" w14:textId="77777777" w:rsidTr="00B247E2">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67EBA142" w14:textId="77777777" w:rsidR="003634FB" w:rsidRPr="00CD3921" w:rsidRDefault="003634FB" w:rsidP="003634FB">
            <w:pPr>
              <w:rPr>
                <w:sz w:val="20"/>
                <w:szCs w:val="20"/>
              </w:rPr>
            </w:pPr>
          </w:p>
        </w:tc>
      </w:tr>
      <w:tr w:rsidR="00B247E2" w:rsidRPr="003634FB" w14:paraId="0C3010A6" w14:textId="77777777" w:rsidTr="00B247E2">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41CA6276" w14:textId="77777777" w:rsidR="003634FB" w:rsidRPr="00CD3921" w:rsidRDefault="003634FB" w:rsidP="003634FB">
            <w:pPr>
              <w:rPr>
                <w:sz w:val="20"/>
                <w:szCs w:val="20"/>
              </w:rPr>
            </w:pPr>
          </w:p>
        </w:tc>
      </w:tr>
      <w:tr w:rsidR="00B247E2" w:rsidRPr="003634FB" w14:paraId="74445B0A" w14:textId="77777777" w:rsidTr="00B247E2">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77777777" w:rsidR="003634FB" w:rsidRPr="00CD3921" w:rsidRDefault="003634FB" w:rsidP="003634FB">
            <w:pPr>
              <w:rPr>
                <w:sz w:val="20"/>
                <w:szCs w:val="20"/>
              </w:rPr>
            </w:pPr>
          </w:p>
        </w:tc>
      </w:tr>
      <w:tr w:rsidR="00B247E2" w:rsidRPr="003634FB" w14:paraId="28C285F5" w14:textId="77777777" w:rsidTr="00B247E2">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77777777" w:rsidR="003634FB" w:rsidRPr="00CD3921" w:rsidRDefault="003634FB" w:rsidP="003634FB">
            <w:pPr>
              <w:rPr>
                <w:sz w:val="20"/>
                <w:szCs w:val="20"/>
              </w:rPr>
            </w:pPr>
          </w:p>
        </w:tc>
      </w:tr>
      <w:tr w:rsidR="00B247E2" w:rsidRPr="003634FB" w14:paraId="121365DD" w14:textId="77777777" w:rsidTr="00B247E2">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77777777" w:rsidR="003634FB" w:rsidRPr="00CD3921" w:rsidRDefault="003634FB" w:rsidP="003634FB">
            <w:pPr>
              <w:rPr>
                <w:sz w:val="20"/>
                <w:szCs w:val="20"/>
              </w:rPr>
            </w:pP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23DC2" w14:textId="77777777" w:rsidR="00781EAB" w:rsidRDefault="00781EAB" w:rsidP="003634FB">
      <w:r>
        <w:separator/>
      </w:r>
    </w:p>
  </w:endnote>
  <w:endnote w:type="continuationSeparator" w:id="0">
    <w:p w14:paraId="5E6C9C4E" w14:textId="77777777" w:rsidR="00781EAB" w:rsidRDefault="00781EAB"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FE0C7" w14:textId="77777777" w:rsidR="00781EAB" w:rsidRDefault="00781EAB" w:rsidP="003634FB">
      <w:r>
        <w:separator/>
      </w:r>
    </w:p>
  </w:footnote>
  <w:footnote w:type="continuationSeparator" w:id="0">
    <w:p w14:paraId="2C41F851" w14:textId="77777777" w:rsidR="00781EAB" w:rsidRDefault="00781EAB"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D2894"/>
    <w:rsid w:val="000E0D0A"/>
    <w:rsid w:val="00123F65"/>
    <w:rsid w:val="0020204B"/>
    <w:rsid w:val="002062A0"/>
    <w:rsid w:val="0022084E"/>
    <w:rsid w:val="002746F1"/>
    <w:rsid w:val="002830D3"/>
    <w:rsid w:val="002B09E2"/>
    <w:rsid w:val="003248CE"/>
    <w:rsid w:val="00330CDF"/>
    <w:rsid w:val="003634FB"/>
    <w:rsid w:val="003754C8"/>
    <w:rsid w:val="003849C1"/>
    <w:rsid w:val="00451D3C"/>
    <w:rsid w:val="00551AEC"/>
    <w:rsid w:val="00580E83"/>
    <w:rsid w:val="0059261E"/>
    <w:rsid w:val="005F0480"/>
    <w:rsid w:val="00655BAF"/>
    <w:rsid w:val="006E09F0"/>
    <w:rsid w:val="00745272"/>
    <w:rsid w:val="00770064"/>
    <w:rsid w:val="00777EF0"/>
    <w:rsid w:val="00781EAB"/>
    <w:rsid w:val="008032CC"/>
    <w:rsid w:val="008160C2"/>
    <w:rsid w:val="008D5336"/>
    <w:rsid w:val="009B13E2"/>
    <w:rsid w:val="009B718C"/>
    <w:rsid w:val="00A3315B"/>
    <w:rsid w:val="00A66404"/>
    <w:rsid w:val="00B247E2"/>
    <w:rsid w:val="00B26D9E"/>
    <w:rsid w:val="00B625AF"/>
    <w:rsid w:val="00BC17A7"/>
    <w:rsid w:val="00C45C10"/>
    <w:rsid w:val="00C53E85"/>
    <w:rsid w:val="00C704C4"/>
    <w:rsid w:val="00C779CE"/>
    <w:rsid w:val="00CC1BE0"/>
    <w:rsid w:val="00CD3921"/>
    <w:rsid w:val="00D462F8"/>
    <w:rsid w:val="00D55598"/>
    <w:rsid w:val="00DF0585"/>
    <w:rsid w:val="00E32397"/>
    <w:rsid w:val="00E81647"/>
    <w:rsid w:val="00E94F56"/>
    <w:rsid w:val="00EF24B0"/>
    <w:rsid w:val="00F25335"/>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Mason Kelly-Scholes</cp:lastModifiedBy>
  <cp:revision>30</cp:revision>
  <dcterms:created xsi:type="dcterms:W3CDTF">2024-01-23T09:21:00Z</dcterms:created>
  <dcterms:modified xsi:type="dcterms:W3CDTF">2025-05-18T17:46:00Z</dcterms:modified>
</cp:coreProperties>
</file>