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2267" w14:textId="77777777" w:rsidR="003D7135" w:rsidRPr="00FC4A92" w:rsidRDefault="003D7135">
      <w:pPr>
        <w:spacing w:before="1200"/>
        <w:rPr>
          <w:rFonts w:ascii="Times New Roman" w:hAnsi="Times New Roman" w:cs="Times New Roman"/>
        </w:rPr>
      </w:pPr>
    </w:p>
    <w:p w14:paraId="5F24B28A" w14:textId="77777777" w:rsidR="003D7135" w:rsidRPr="00FC4A92" w:rsidRDefault="008C601E">
      <w:pPr>
        <w:spacing w:after="300"/>
        <w:jc w:val="center"/>
        <w:rPr>
          <w:rFonts w:ascii="Times New Roman" w:hAnsi="Times New Roman" w:cs="Times New Roman"/>
          <w:b/>
          <w:bCs/>
        </w:rPr>
      </w:pPr>
      <w:r w:rsidRPr="00FC4A92">
        <w:rPr>
          <w:rFonts w:ascii="Times New Roman" w:hAnsi="Times New Roman" w:cs="Times New Roman"/>
          <w:b/>
          <w:bCs/>
          <w:sz w:val="24"/>
          <w:szCs w:val="24"/>
        </w:rPr>
        <w:t>Module: 7PAM2016-0509-2025 — Advanced Research Topics in Data Science</w:t>
      </w:r>
    </w:p>
    <w:p w14:paraId="1DE25258" w14:textId="77777777" w:rsidR="003D7135" w:rsidRPr="00FC4A92" w:rsidRDefault="008C601E">
      <w:pPr>
        <w:spacing w:after="600"/>
        <w:jc w:val="center"/>
        <w:rPr>
          <w:rFonts w:ascii="Times New Roman" w:hAnsi="Times New Roman" w:cs="Times New Roman"/>
          <w:b/>
          <w:bCs/>
        </w:rPr>
      </w:pPr>
      <w:r w:rsidRPr="00FC4A92">
        <w:rPr>
          <w:rFonts w:ascii="Times New Roman" w:hAnsi="Times New Roman" w:cs="Times New Roman"/>
          <w:b/>
          <w:bCs/>
          <w:i/>
          <w:iCs/>
          <w:sz w:val="24"/>
          <w:szCs w:val="24"/>
        </w:rPr>
        <w:t>MSc Data Science — University of Hertfordshire</w:t>
      </w:r>
    </w:p>
    <w:p w14:paraId="0E7DB743" w14:textId="77777777" w:rsidR="003D7135" w:rsidRPr="00F87B2E" w:rsidRDefault="008C601E">
      <w:pPr>
        <w:spacing w:before="700" w:after="200"/>
        <w:jc w:val="center"/>
        <w:rPr>
          <w:rFonts w:ascii="Times New Roman" w:hAnsi="Times New Roman" w:cs="Times New Roman"/>
          <w:sz w:val="40"/>
          <w:szCs w:val="40"/>
        </w:rPr>
      </w:pPr>
      <w:r w:rsidRPr="00F87B2E">
        <w:rPr>
          <w:rFonts w:ascii="Times New Roman" w:hAnsi="Times New Roman" w:cs="Times New Roman"/>
          <w:b/>
          <w:bCs/>
          <w:sz w:val="40"/>
          <w:szCs w:val="40"/>
        </w:rPr>
        <w:t>German Electricity Demand Forecasting:</w:t>
      </w:r>
    </w:p>
    <w:p w14:paraId="07EC4F26" w14:textId="77777777" w:rsidR="003D7135" w:rsidRPr="00F87B2E" w:rsidRDefault="008C601E">
      <w:pPr>
        <w:spacing w:after="700"/>
        <w:jc w:val="center"/>
        <w:rPr>
          <w:rFonts w:ascii="Times New Roman" w:hAnsi="Times New Roman" w:cs="Times New Roman"/>
          <w:sz w:val="40"/>
          <w:szCs w:val="40"/>
        </w:rPr>
      </w:pPr>
      <w:r w:rsidRPr="00F87B2E">
        <w:rPr>
          <w:rFonts w:ascii="Times New Roman" w:hAnsi="Times New Roman" w:cs="Times New Roman"/>
          <w:b/>
          <w:bCs/>
          <w:sz w:val="40"/>
          <w:szCs w:val="40"/>
        </w:rPr>
        <w:t>A Time Series Modelling Case Study</w:t>
      </w:r>
    </w:p>
    <w:p w14:paraId="0FA51510" w14:textId="77777777" w:rsidR="003D7135" w:rsidRPr="00F87B2E" w:rsidRDefault="008C601E">
      <w:pPr>
        <w:spacing w:before="800" w:after="150"/>
        <w:jc w:val="center"/>
        <w:rPr>
          <w:rFonts w:ascii="Times New Roman" w:hAnsi="Times New Roman" w:cs="Times New Roman"/>
          <w:sz w:val="28"/>
          <w:szCs w:val="28"/>
        </w:rPr>
      </w:pPr>
      <w:r w:rsidRPr="00F87B2E">
        <w:rPr>
          <w:rFonts w:ascii="Times New Roman" w:hAnsi="Times New Roman" w:cs="Times New Roman"/>
          <w:sz w:val="28"/>
          <w:szCs w:val="28"/>
        </w:rPr>
        <w:t>Student Name: Usha Chandaka</w:t>
      </w:r>
    </w:p>
    <w:p w14:paraId="4B25B964" w14:textId="77777777" w:rsidR="003D7135" w:rsidRPr="00F87B2E" w:rsidRDefault="008C601E">
      <w:pPr>
        <w:spacing w:after="150"/>
        <w:jc w:val="center"/>
        <w:rPr>
          <w:rFonts w:ascii="Times New Roman" w:hAnsi="Times New Roman" w:cs="Times New Roman"/>
          <w:sz w:val="28"/>
          <w:szCs w:val="28"/>
        </w:rPr>
      </w:pPr>
      <w:r w:rsidRPr="00F87B2E">
        <w:rPr>
          <w:rFonts w:ascii="Times New Roman" w:hAnsi="Times New Roman" w:cs="Times New Roman"/>
          <w:sz w:val="28"/>
          <w:szCs w:val="28"/>
        </w:rPr>
        <w:t>Student ID: 24075990</w:t>
      </w:r>
    </w:p>
    <w:p w14:paraId="0145FC1C" w14:textId="77777777" w:rsidR="003D7135" w:rsidRPr="00F87B2E" w:rsidRDefault="008C601E">
      <w:pPr>
        <w:spacing w:after="150"/>
        <w:jc w:val="center"/>
        <w:rPr>
          <w:rFonts w:ascii="Times New Roman" w:hAnsi="Times New Roman" w:cs="Times New Roman"/>
          <w:sz w:val="28"/>
          <w:szCs w:val="28"/>
        </w:rPr>
      </w:pPr>
      <w:r w:rsidRPr="00F87B2E">
        <w:rPr>
          <w:rFonts w:ascii="Times New Roman" w:hAnsi="Times New Roman" w:cs="Times New Roman"/>
          <w:sz w:val="28"/>
          <w:szCs w:val="28"/>
        </w:rPr>
        <w:t>Tutor Name: Dr William Alston</w:t>
      </w:r>
    </w:p>
    <w:p w14:paraId="74E57C49" w14:textId="77777777" w:rsidR="003D7135" w:rsidRPr="00F87B2E" w:rsidRDefault="008C601E">
      <w:pPr>
        <w:spacing w:after="150"/>
        <w:jc w:val="center"/>
        <w:rPr>
          <w:rFonts w:ascii="Times New Roman" w:hAnsi="Times New Roman" w:cs="Times New Roman"/>
          <w:sz w:val="28"/>
          <w:szCs w:val="28"/>
        </w:rPr>
      </w:pPr>
      <w:r w:rsidRPr="00F87B2E">
        <w:rPr>
          <w:rFonts w:ascii="Times New Roman" w:hAnsi="Times New Roman" w:cs="Times New Roman"/>
          <w:sz w:val="28"/>
          <w:szCs w:val="28"/>
        </w:rPr>
        <w:t>Date: 10 July 2026</w:t>
      </w:r>
    </w:p>
    <w:p w14:paraId="22DDEC9E" w14:textId="77777777" w:rsidR="003D7135" w:rsidRPr="00F87B2E" w:rsidRDefault="008C601E">
      <w:pPr>
        <w:rPr>
          <w:rFonts w:ascii="Times New Roman" w:hAnsi="Times New Roman" w:cs="Times New Roman"/>
          <w:sz w:val="28"/>
          <w:szCs w:val="28"/>
        </w:rPr>
      </w:pPr>
      <w:r w:rsidRPr="00F87B2E">
        <w:rPr>
          <w:rFonts w:ascii="Times New Roman" w:hAnsi="Times New Roman" w:cs="Times New Roman"/>
          <w:sz w:val="28"/>
          <w:szCs w:val="28"/>
        </w:rPr>
        <w:br w:type="page"/>
      </w:r>
    </w:p>
    <w:p w14:paraId="36CB1E39" w14:textId="77777777" w:rsidR="003D7135" w:rsidRPr="00FC4A92" w:rsidRDefault="008C601E">
      <w:pPr>
        <w:pStyle w:val="Heading1"/>
        <w:spacing w:before="360" w:after="200"/>
        <w:rPr>
          <w:rFonts w:ascii="Times New Roman" w:hAnsi="Times New Roman" w:cs="Times New Roman"/>
          <w:color w:val="auto"/>
        </w:rPr>
      </w:pPr>
      <w:r w:rsidRPr="00FC4A92">
        <w:rPr>
          <w:rFonts w:ascii="Times New Roman" w:hAnsi="Times New Roman" w:cs="Times New Roman"/>
          <w:color w:val="auto"/>
        </w:rPr>
        <w:lastRenderedPageBreak/>
        <w:t>1. Introduction</w:t>
      </w:r>
    </w:p>
    <w:p w14:paraId="29534CB8"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 xml:space="preserve">Electricity demand forecasting predicts future consumption from historical demand and related covariates such as weather. Accurate forecasts underpin generation scheduling, reserve planning, and the balancing of increasingly weather-dependent renewable supply, so forecast error translates directly into operational cost or risk. Germany is used as the case study here because its demand series shows strong, learnable seasonal structure alongside a genuine, unpredictable shock — the COVID-19 lockdowns of 2020 </w:t>
      </w:r>
      <w:r w:rsidRPr="00F87B2E">
        <w:rPr>
          <w:rFonts w:ascii="Times New Roman" w:hAnsi="Times New Roman" w:cs="Times New Roman"/>
          <w:sz w:val="24"/>
          <w:szCs w:val="24"/>
        </w:rPr>
        <w:t>— that falls inside the test window used throughout this report, giving a realistic test of how each modelling approach copes with a real structural break rather than only routine repetition.</w:t>
      </w:r>
    </w:p>
    <w:p w14:paraId="7BB30AC7"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This report uses hourly German electricity load from Open Power System Data (Jan 2015 – Oct 2020), aggregated to weekly resolution for the classical and machine-learning models and used at hourly resolution for the recurrent networks. Ten forecasting approaches are compared on an identical 104-week held-out test period: four naive benchmarks, SARIMA and SARIMAX (with Berlin temperature), Random Forest and Gradient Boosting, and a Stacked LSTM and Bidirectional LSTM. All models are scored on RMSE, MAE and MA</w:t>
      </w:r>
      <w:r w:rsidRPr="00F87B2E">
        <w:rPr>
          <w:rFonts w:ascii="Times New Roman" w:hAnsi="Times New Roman" w:cs="Times New Roman"/>
          <w:sz w:val="24"/>
          <w:szCs w:val="24"/>
        </w:rPr>
        <w:t>PE against the actual demand subsequently observed in that period, and against a Seasonal Naive skill score, so that added model complexity can be judged against a genuinely competitive, cost-free alternative rather than in isolation.</w:t>
      </w:r>
    </w:p>
    <w:p w14:paraId="1EB16FA1" w14:textId="77777777" w:rsidR="003D7135" w:rsidRPr="00FC4A92" w:rsidRDefault="008C601E">
      <w:pPr>
        <w:pStyle w:val="Heading1"/>
        <w:spacing w:before="360" w:after="200"/>
        <w:rPr>
          <w:rFonts w:ascii="Times New Roman" w:hAnsi="Times New Roman" w:cs="Times New Roman"/>
          <w:color w:val="auto"/>
        </w:rPr>
      </w:pPr>
      <w:r w:rsidRPr="00FC4A92">
        <w:rPr>
          <w:rFonts w:ascii="Times New Roman" w:hAnsi="Times New Roman" w:cs="Times New Roman"/>
          <w:color w:val="auto"/>
        </w:rPr>
        <w:t>2. Data Preparation and Exploratory Analysis</w:t>
      </w:r>
    </w:p>
    <w:p w14:paraId="1814265E"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Hourly German load (</w:t>
      </w:r>
      <w:proofErr w:type="spellStart"/>
      <w:r w:rsidRPr="00F87B2E">
        <w:rPr>
          <w:rFonts w:ascii="Times New Roman" w:hAnsi="Times New Roman" w:cs="Times New Roman"/>
          <w:sz w:val="24"/>
          <w:szCs w:val="24"/>
        </w:rPr>
        <w:t>DE_load_actual_entsoe_transparency</w:t>
      </w:r>
      <w:proofErr w:type="spellEnd"/>
      <w:r w:rsidRPr="00F87B2E">
        <w:rPr>
          <w:rFonts w:ascii="Times New Roman" w:hAnsi="Times New Roman" w:cs="Times New Roman"/>
          <w:sz w:val="24"/>
          <w:szCs w:val="24"/>
        </w:rPr>
        <w:t>, ENTSO-E via OPSD) had zero missing values across the 50,400-hour window, so no imputation was needed. Resampling to weekly means gave 301 observations (mean 55,484 MW, SD 3,763 MW). Weekly resolution was chosen for the classical/ML models so that annual seasonality could be represented with a manageable seasonal period (s = 52) rather than s = 8,760 hourly, which would make SARIMA estimation infeasible; the LSTMs instead use the raw hourly series (Section 6) since recurrent networks can learn the daily cy</w:t>
      </w:r>
      <w:r w:rsidRPr="00F87B2E">
        <w:rPr>
          <w:rFonts w:ascii="Times New Roman" w:hAnsi="Times New Roman" w:cs="Times New Roman"/>
          <w:sz w:val="24"/>
          <w:szCs w:val="24"/>
        </w:rPr>
        <w:t>cle without an explicit seasonal parameter.</w:t>
      </w:r>
    </w:p>
    <w:p w14:paraId="5810A470" w14:textId="77777777" w:rsidR="003D7135" w:rsidRPr="00F87B2E" w:rsidRDefault="008C601E">
      <w:pPr>
        <w:spacing w:before="200" w:after="80"/>
        <w:jc w:val="center"/>
        <w:rPr>
          <w:rFonts w:ascii="Times New Roman" w:hAnsi="Times New Roman" w:cs="Times New Roman"/>
          <w:sz w:val="24"/>
          <w:szCs w:val="24"/>
        </w:rPr>
      </w:pPr>
      <w:r w:rsidRPr="00F87B2E">
        <w:rPr>
          <w:rFonts w:ascii="Times New Roman" w:hAnsi="Times New Roman" w:cs="Times New Roman"/>
          <w:noProof/>
          <w:sz w:val="24"/>
          <w:szCs w:val="24"/>
        </w:rPr>
        <w:lastRenderedPageBreak/>
        <w:drawing>
          <wp:inline distT="0" distB="0" distL="0" distR="0" wp14:anchorId="355F54DC" wp14:editId="25474F8B">
            <wp:extent cx="5486400" cy="4010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486400" cy="4010025"/>
                    </a:xfrm>
                    <a:prstGeom prst="rect">
                      <a:avLst/>
                    </a:prstGeom>
                  </pic:spPr>
                </pic:pic>
              </a:graphicData>
            </a:graphic>
          </wp:inline>
        </w:drawing>
      </w:r>
    </w:p>
    <w:p w14:paraId="118130AF" w14:textId="77777777" w:rsidR="003D7135" w:rsidRPr="00F87B2E" w:rsidRDefault="008C601E">
      <w:pPr>
        <w:spacing w:after="240"/>
        <w:jc w:val="center"/>
        <w:rPr>
          <w:rFonts w:ascii="Times New Roman" w:hAnsi="Times New Roman" w:cs="Times New Roman"/>
          <w:sz w:val="24"/>
          <w:szCs w:val="24"/>
        </w:rPr>
      </w:pPr>
      <w:r w:rsidRPr="00F87B2E">
        <w:rPr>
          <w:rFonts w:ascii="Times New Roman" w:hAnsi="Times New Roman" w:cs="Times New Roman"/>
          <w:b/>
          <w:bCs/>
          <w:sz w:val="24"/>
          <w:szCs w:val="24"/>
        </w:rPr>
        <w:t>Figure 1. Additive seasonal decomposition of weekly demand: observed, trend, seasonal, residual.</w:t>
      </w:r>
    </w:p>
    <w:p w14:paraId="243574CE"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The decomposition shows the annual seasonal component is by far the largest source of variation — demand peaks in December/January and troughs in July/August, repeatably across all six years (confirmed by narrow interquartile ranges in monthly boxplots, not shown). The trend declines only gradually. Critically, the residual shows one dominant spike in early 2020: the COVID-19 lockdown is an irregular shock sitting outside the normal seasonal envelope, which is precisely what no purely historical, autoregres</w:t>
      </w:r>
      <w:r w:rsidRPr="00F87B2E">
        <w:rPr>
          <w:rFonts w:ascii="Times New Roman" w:hAnsi="Times New Roman" w:cs="Times New Roman"/>
          <w:sz w:val="24"/>
          <w:szCs w:val="24"/>
        </w:rPr>
        <w:t>sive model can anticipate — a limitation that recurs throughout the model comparison in Section 7.</w:t>
      </w:r>
    </w:p>
    <w:p w14:paraId="31CEC466"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 xml:space="preserve">Stationarity was tested formally rather than assumed. On the raw weekly series, ADF rejected the unit-root null (stat = -4.05, p = 0.0012) and KPSS failed to reject stationarity (stat = 0.16, p &gt; 0.10 — </w:t>
      </w:r>
      <w:proofErr w:type="spellStart"/>
      <w:r w:rsidRPr="00F87B2E">
        <w:rPr>
          <w:rFonts w:ascii="Times New Roman" w:hAnsi="Times New Roman" w:cs="Times New Roman"/>
          <w:sz w:val="24"/>
          <w:szCs w:val="24"/>
        </w:rPr>
        <w:t>statsmodels</w:t>
      </w:r>
      <w:proofErr w:type="spellEnd"/>
      <w:r w:rsidRPr="00F87B2E">
        <w:rPr>
          <w:rFonts w:ascii="Times New Roman" w:hAnsi="Times New Roman" w:cs="Times New Roman"/>
          <w:sz w:val="24"/>
          <w:szCs w:val="24"/>
        </w:rPr>
        <w:t xml:space="preserve"> flags this as beyond its look-up table’s upper bound, meaning the true p-value is even larger than 0.10, i.e. even stronger evidence for stationarity than the reported figure suggests): both tests agree the series is already stationary, so d = 0. Seasonally differencing at lag 52 did not improve this — KPSS instead rejected stationarity more strongly (stat = 1.34, p &lt; 0.01, again beyond the look-up table’s lower bound) — indicating the annual cycle is better captured by a seasonal AR term than b</w:t>
      </w:r>
      <w:r w:rsidRPr="00F87B2E">
        <w:rPr>
          <w:rFonts w:ascii="Times New Roman" w:hAnsi="Times New Roman" w:cs="Times New Roman"/>
          <w:sz w:val="24"/>
          <w:szCs w:val="24"/>
        </w:rPr>
        <w:t>y seasonal differencing, so D = 0 also. Figure 2 shows the corresponding ACF/PACF: a strong, isolated spike at lag 52 with fast short-lag decay, consistent with a low-order AR process plus a seasonal AR term rather than one requiring heavy differencing.</w:t>
      </w:r>
    </w:p>
    <w:p w14:paraId="6451546B" w14:textId="77777777" w:rsidR="003D7135" w:rsidRPr="00FC4A92" w:rsidRDefault="008C601E">
      <w:pPr>
        <w:spacing w:before="200" w:after="80"/>
        <w:jc w:val="center"/>
        <w:rPr>
          <w:rFonts w:ascii="Times New Roman" w:hAnsi="Times New Roman" w:cs="Times New Roman"/>
        </w:rPr>
      </w:pPr>
      <w:r w:rsidRPr="00FC4A92">
        <w:rPr>
          <w:rFonts w:ascii="Times New Roman" w:hAnsi="Times New Roman" w:cs="Times New Roman"/>
          <w:noProof/>
        </w:rPr>
        <w:drawing>
          <wp:inline distT="0" distB="0" distL="0" distR="0" wp14:anchorId="3BC3563F" wp14:editId="4FD0850E">
            <wp:extent cx="5486400" cy="1543050"/>
            <wp:effectExtent l="0" t="0" r="0" b="0"/>
            <wp:docPr id="682360443" name="Picture 68236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486400" cy="1543050"/>
                    </a:xfrm>
                    <a:prstGeom prst="rect">
                      <a:avLst/>
                    </a:prstGeom>
                  </pic:spPr>
                </pic:pic>
              </a:graphicData>
            </a:graphic>
          </wp:inline>
        </w:drawing>
      </w:r>
    </w:p>
    <w:p w14:paraId="1F208522" w14:textId="77777777" w:rsidR="003D7135" w:rsidRPr="00FC4A92" w:rsidRDefault="008C601E">
      <w:pPr>
        <w:spacing w:after="240"/>
        <w:jc w:val="center"/>
        <w:rPr>
          <w:rFonts w:ascii="Times New Roman" w:hAnsi="Times New Roman" w:cs="Times New Roman"/>
        </w:rPr>
      </w:pPr>
      <w:r w:rsidRPr="00FC4A92">
        <w:rPr>
          <w:rFonts w:ascii="Times New Roman" w:hAnsi="Times New Roman" w:cs="Times New Roman"/>
          <w:b/>
          <w:bCs/>
          <w:sz w:val="20"/>
          <w:szCs w:val="20"/>
        </w:rPr>
        <w:lastRenderedPageBreak/>
        <w:t>Figure 2. Autocorrelation and partial autocorrelation of the raw weekly demand series.</w:t>
      </w:r>
    </w:p>
    <w:p w14:paraId="3DA03148" w14:textId="77777777" w:rsidR="003D7135" w:rsidRPr="00FC4A92" w:rsidRDefault="008C601E">
      <w:pPr>
        <w:pStyle w:val="Heading1"/>
        <w:spacing w:before="360" w:after="200"/>
        <w:rPr>
          <w:rFonts w:ascii="Times New Roman" w:hAnsi="Times New Roman" w:cs="Times New Roman"/>
          <w:color w:val="auto"/>
        </w:rPr>
      </w:pPr>
      <w:r w:rsidRPr="00FC4A92">
        <w:rPr>
          <w:rFonts w:ascii="Times New Roman" w:hAnsi="Times New Roman" w:cs="Times New Roman"/>
          <w:color w:val="auto"/>
        </w:rPr>
        <w:t>3. Benchmark Models</w:t>
      </w:r>
    </w:p>
    <w:p w14:paraId="458F7F62"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Mean, Naive, Seasonal Naive and Drift were fitted with no estimation, following standard practice of establishing a cost-free floor that any parameterised model must beat to justify its complexity (Hyndman and Athanasopoulos, 2021). All models are trained on the first 197 weeks (Jan 2015–Oct 2018) and tested on the following 104 weeks (Oct 2018–Oct 2020), a window deliberately chosen to include the COVID-19 shock.</w:t>
      </w:r>
    </w:p>
    <w:p w14:paraId="2D169F7B" w14:textId="77777777" w:rsidR="003D7135" w:rsidRPr="00F87B2E" w:rsidRDefault="008C601E">
      <w:pPr>
        <w:spacing w:before="200" w:after="80"/>
        <w:jc w:val="center"/>
        <w:rPr>
          <w:rFonts w:ascii="Times New Roman" w:hAnsi="Times New Roman" w:cs="Times New Roman"/>
          <w:sz w:val="24"/>
          <w:szCs w:val="24"/>
        </w:rPr>
      </w:pPr>
      <w:r w:rsidRPr="00F87B2E">
        <w:rPr>
          <w:rFonts w:ascii="Times New Roman" w:hAnsi="Times New Roman" w:cs="Times New Roman"/>
          <w:noProof/>
          <w:sz w:val="24"/>
          <w:szCs w:val="24"/>
        </w:rPr>
        <w:drawing>
          <wp:inline distT="0" distB="0" distL="0" distR="0" wp14:anchorId="0D8D3F95" wp14:editId="7ECCF444">
            <wp:extent cx="5486400" cy="2171700"/>
            <wp:effectExtent l="0" t="0" r="0" b="0"/>
            <wp:docPr id="529202888" name="Picture 529202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2171700"/>
                    </a:xfrm>
                    <a:prstGeom prst="rect">
                      <a:avLst/>
                    </a:prstGeom>
                  </pic:spPr>
                </pic:pic>
              </a:graphicData>
            </a:graphic>
          </wp:inline>
        </w:drawing>
      </w:r>
    </w:p>
    <w:p w14:paraId="57F0F318" w14:textId="77777777" w:rsidR="003D7135" w:rsidRPr="00F87B2E" w:rsidRDefault="008C601E">
      <w:pPr>
        <w:spacing w:after="240"/>
        <w:jc w:val="center"/>
        <w:rPr>
          <w:rFonts w:ascii="Times New Roman" w:hAnsi="Times New Roman" w:cs="Times New Roman"/>
          <w:sz w:val="24"/>
          <w:szCs w:val="24"/>
        </w:rPr>
      </w:pPr>
      <w:r w:rsidRPr="00F87B2E">
        <w:rPr>
          <w:rFonts w:ascii="Times New Roman" w:hAnsi="Times New Roman" w:cs="Times New Roman"/>
          <w:b/>
          <w:bCs/>
          <w:sz w:val="24"/>
          <w:szCs w:val="24"/>
        </w:rPr>
        <w:t>Figure 3. Benchmark forecasts against demand actually observed in the test period.</w:t>
      </w:r>
    </w:p>
    <w:p w14:paraId="51AACF83"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Seasonal Naive is the strongest benchmark (RMSE 3006.8 MW vs 4397–5118 MW for the others) — a direct consequence of the annual regularity established in Section 2: simply repeating last year’s value for the same week is highly competitive. Comparing the forecasts to the actual subsequent data in Figure 3, Seasonal Naive tracks the broad seasonal shape reasonably well but, having no mechanism to anticipate an unprecedented event, still misses the depth of the COVID-19 trough by a wide margin. Every model bel</w:t>
      </w:r>
      <w:r w:rsidRPr="00F87B2E">
        <w:rPr>
          <w:rFonts w:ascii="Times New Roman" w:hAnsi="Times New Roman" w:cs="Times New Roman"/>
          <w:sz w:val="24"/>
          <w:szCs w:val="24"/>
        </w:rPr>
        <w:t>ow is judged first against this benchmark, since only genuine added information — not just added complexity — should be expected to beat it.</w:t>
      </w:r>
    </w:p>
    <w:p w14:paraId="20E7AEBB" w14:textId="77777777" w:rsidR="003D7135" w:rsidRPr="00FC4A92" w:rsidRDefault="008C601E">
      <w:pPr>
        <w:pStyle w:val="Heading1"/>
        <w:spacing w:before="360" w:after="200"/>
        <w:rPr>
          <w:rFonts w:ascii="Times New Roman" w:hAnsi="Times New Roman" w:cs="Times New Roman"/>
          <w:color w:val="auto"/>
        </w:rPr>
      </w:pPr>
      <w:r w:rsidRPr="00FC4A92">
        <w:rPr>
          <w:rFonts w:ascii="Times New Roman" w:hAnsi="Times New Roman" w:cs="Times New Roman"/>
          <w:color w:val="auto"/>
        </w:rPr>
        <w:t>4. SARIMA and SARIMAX</w:t>
      </w:r>
    </w:p>
    <w:p w14:paraId="7327031D"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SARIMA(</w:t>
      </w:r>
      <w:proofErr w:type="spellStart"/>
      <w:proofErr w:type="gramStart"/>
      <w:r w:rsidRPr="00F87B2E">
        <w:rPr>
          <w:rFonts w:ascii="Times New Roman" w:hAnsi="Times New Roman" w:cs="Times New Roman"/>
          <w:sz w:val="24"/>
          <w:szCs w:val="24"/>
        </w:rPr>
        <w:t>p,d</w:t>
      </w:r>
      <w:proofErr w:type="gramEnd"/>
      <w:r w:rsidRPr="00F87B2E">
        <w:rPr>
          <w:rFonts w:ascii="Times New Roman" w:hAnsi="Times New Roman" w:cs="Times New Roman"/>
          <w:sz w:val="24"/>
          <w:szCs w:val="24"/>
        </w:rPr>
        <w:t>,</w:t>
      </w:r>
      <w:proofErr w:type="gramStart"/>
      <w:r w:rsidRPr="00F87B2E">
        <w:rPr>
          <w:rFonts w:ascii="Times New Roman" w:hAnsi="Times New Roman" w:cs="Times New Roman"/>
          <w:sz w:val="24"/>
          <w:szCs w:val="24"/>
        </w:rPr>
        <w:t>q</w:t>
      </w:r>
      <w:proofErr w:type="spellEnd"/>
      <w:r w:rsidRPr="00F87B2E">
        <w:rPr>
          <w:rFonts w:ascii="Times New Roman" w:hAnsi="Times New Roman" w:cs="Times New Roman"/>
          <w:sz w:val="24"/>
          <w:szCs w:val="24"/>
        </w:rPr>
        <w:t>)(P,D</w:t>
      </w:r>
      <w:proofErr w:type="gramEnd"/>
      <w:r w:rsidRPr="00F87B2E">
        <w:rPr>
          <w:rFonts w:ascii="Times New Roman" w:hAnsi="Times New Roman" w:cs="Times New Roman"/>
          <w:sz w:val="24"/>
          <w:szCs w:val="24"/>
        </w:rPr>
        <w:t>,Q)52 order was selected via stepwise AIC search (</w:t>
      </w:r>
      <w:proofErr w:type="spellStart"/>
      <w:proofErr w:type="gramStart"/>
      <w:r w:rsidRPr="00F87B2E">
        <w:rPr>
          <w:rFonts w:ascii="Times New Roman" w:hAnsi="Times New Roman" w:cs="Times New Roman"/>
          <w:sz w:val="24"/>
          <w:szCs w:val="24"/>
        </w:rPr>
        <w:t>p,q</w:t>
      </w:r>
      <w:proofErr w:type="spellEnd"/>
      <w:proofErr w:type="gramEnd"/>
      <w:r w:rsidRPr="00F87B2E">
        <w:rPr>
          <w:rFonts w:ascii="Times New Roman" w:hAnsi="Times New Roman" w:cs="Times New Roman"/>
          <w:sz w:val="24"/>
          <w:szCs w:val="24"/>
        </w:rPr>
        <w:t xml:space="preserve"> = 0–6, d = 0–2) using </w:t>
      </w:r>
      <w:proofErr w:type="spellStart"/>
      <w:r w:rsidRPr="00F87B2E">
        <w:rPr>
          <w:rFonts w:ascii="Times New Roman" w:hAnsi="Times New Roman" w:cs="Times New Roman"/>
          <w:sz w:val="24"/>
          <w:szCs w:val="24"/>
        </w:rPr>
        <w:t>pmdarima</w:t>
      </w:r>
      <w:proofErr w:type="spellEnd"/>
      <w:r w:rsidRPr="00F87B2E">
        <w:rPr>
          <w:rFonts w:ascii="Times New Roman" w:hAnsi="Times New Roman" w:cs="Times New Roman"/>
          <w:sz w:val="24"/>
          <w:szCs w:val="24"/>
        </w:rPr>
        <w:t xml:space="preserve"> (Hyndman and Khandakar, 2008), which balances fit against parameter count rather than simply maximising fit. Consistent with Section 2.3, the search selected d = D = 0, giving </w:t>
      </w:r>
      <w:proofErr w:type="gramStart"/>
      <w:r w:rsidRPr="00F87B2E">
        <w:rPr>
          <w:rFonts w:ascii="Times New Roman" w:hAnsi="Times New Roman" w:cs="Times New Roman"/>
          <w:sz w:val="24"/>
          <w:szCs w:val="24"/>
        </w:rPr>
        <w:t>SARIMA(</w:t>
      </w:r>
      <w:proofErr w:type="gramEnd"/>
      <w:r w:rsidRPr="00F87B2E">
        <w:rPr>
          <w:rFonts w:ascii="Times New Roman" w:hAnsi="Times New Roman" w:cs="Times New Roman"/>
          <w:sz w:val="24"/>
          <w:szCs w:val="24"/>
        </w:rPr>
        <w:t>3,0,</w:t>
      </w:r>
      <w:proofErr w:type="gramStart"/>
      <w:r w:rsidRPr="00F87B2E">
        <w:rPr>
          <w:rFonts w:ascii="Times New Roman" w:hAnsi="Times New Roman" w:cs="Times New Roman"/>
          <w:sz w:val="24"/>
          <w:szCs w:val="24"/>
        </w:rPr>
        <w:t>1)(</w:t>
      </w:r>
      <w:proofErr w:type="gramEnd"/>
      <w:r w:rsidRPr="00F87B2E">
        <w:rPr>
          <w:rFonts w:ascii="Times New Roman" w:hAnsi="Times New Roman" w:cs="Times New Roman"/>
          <w:sz w:val="24"/>
          <w:szCs w:val="24"/>
        </w:rPr>
        <w:t>1,0,</w:t>
      </w:r>
      <w:proofErr w:type="gramStart"/>
      <w:r w:rsidRPr="00F87B2E">
        <w:rPr>
          <w:rFonts w:ascii="Times New Roman" w:hAnsi="Times New Roman" w:cs="Times New Roman"/>
          <w:sz w:val="24"/>
          <w:szCs w:val="24"/>
        </w:rPr>
        <w:t>0)[</w:t>
      </w:r>
      <w:proofErr w:type="gramEnd"/>
      <w:r w:rsidRPr="00F87B2E">
        <w:rPr>
          <w:rFonts w:ascii="Times New Roman" w:hAnsi="Times New Roman" w:cs="Times New Roman"/>
          <w:sz w:val="24"/>
          <w:szCs w:val="24"/>
        </w:rPr>
        <w:t>52]. The dominant coefficient is the seasonal AR term (ar.</w:t>
      </w:r>
      <w:proofErr w:type="gramStart"/>
      <w:r w:rsidRPr="00F87B2E">
        <w:rPr>
          <w:rFonts w:ascii="Times New Roman" w:hAnsi="Times New Roman" w:cs="Times New Roman"/>
          <w:sz w:val="24"/>
          <w:szCs w:val="24"/>
        </w:rPr>
        <w:t>S.L</w:t>
      </w:r>
      <w:proofErr w:type="gramEnd"/>
      <w:r w:rsidRPr="00F87B2E">
        <w:rPr>
          <w:rFonts w:ascii="Times New Roman" w:hAnsi="Times New Roman" w:cs="Times New Roman"/>
          <w:sz w:val="24"/>
          <w:szCs w:val="24"/>
        </w:rPr>
        <w:t>52 = 0.72), numerically confirming that last year’s value is the strongest single predictor — the same conclusion the EDA and feature-importance analysis (Sect</w:t>
      </w:r>
      <w:r w:rsidRPr="00F87B2E">
        <w:rPr>
          <w:rFonts w:ascii="Times New Roman" w:hAnsi="Times New Roman" w:cs="Times New Roman"/>
          <w:sz w:val="24"/>
          <w:szCs w:val="24"/>
        </w:rPr>
        <w:t>ion 5) reach independently.</w:t>
      </w:r>
    </w:p>
    <w:p w14:paraId="3AAF5ECE" w14:textId="77777777" w:rsidR="003D7135" w:rsidRPr="00F87B2E" w:rsidRDefault="008C601E">
      <w:pPr>
        <w:spacing w:before="200" w:after="80"/>
        <w:jc w:val="center"/>
        <w:rPr>
          <w:rFonts w:ascii="Times New Roman" w:hAnsi="Times New Roman" w:cs="Times New Roman"/>
          <w:sz w:val="24"/>
          <w:szCs w:val="24"/>
        </w:rPr>
      </w:pPr>
      <w:r w:rsidRPr="00F87B2E">
        <w:rPr>
          <w:rFonts w:ascii="Times New Roman" w:hAnsi="Times New Roman" w:cs="Times New Roman"/>
          <w:noProof/>
          <w:sz w:val="24"/>
          <w:szCs w:val="24"/>
        </w:rPr>
        <w:lastRenderedPageBreak/>
        <w:drawing>
          <wp:inline distT="0" distB="0" distL="0" distR="0" wp14:anchorId="17C3DD4D" wp14:editId="500D8B8B">
            <wp:extent cx="5486400" cy="2171700"/>
            <wp:effectExtent l="0" t="0" r="0" b="0"/>
            <wp:docPr id="567885739" name="Picture 567885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86400" cy="2171700"/>
                    </a:xfrm>
                    <a:prstGeom prst="rect">
                      <a:avLst/>
                    </a:prstGeom>
                  </pic:spPr>
                </pic:pic>
              </a:graphicData>
            </a:graphic>
          </wp:inline>
        </w:drawing>
      </w:r>
    </w:p>
    <w:p w14:paraId="74D4D4A2" w14:textId="77777777" w:rsidR="003D7135" w:rsidRPr="00F87B2E" w:rsidRDefault="008C601E">
      <w:pPr>
        <w:spacing w:after="240"/>
        <w:jc w:val="center"/>
        <w:rPr>
          <w:rFonts w:ascii="Times New Roman" w:hAnsi="Times New Roman" w:cs="Times New Roman"/>
          <w:sz w:val="24"/>
          <w:szCs w:val="24"/>
        </w:rPr>
      </w:pPr>
      <w:r w:rsidRPr="00F87B2E">
        <w:rPr>
          <w:rFonts w:ascii="Times New Roman" w:hAnsi="Times New Roman" w:cs="Times New Roman"/>
          <w:b/>
          <w:bCs/>
          <w:sz w:val="24"/>
          <w:szCs w:val="24"/>
        </w:rPr>
        <w:t>Figure 4. SARIMA forecast with 95% confidence intervals against actual demand.</w:t>
      </w:r>
    </w:p>
    <w:p w14:paraId="23EE35DA"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Against the actual data collected in the test window, SARIMA tracks well through 2019 but its confidence interval and point forecast diverge sharply once the series enters the COVID-19 period, and it ends up performing worse (RMSE 5585.0 MW) than even the Mean benchmark. This is not a symptom of poor order selection — residual diagnostics (not shown) confirm the fit is well specified for a linear, purely historical model — but a structural limitation: SARIMA assumes future dynamics resemble past dynamics, a</w:t>
      </w:r>
      <w:r w:rsidRPr="00F87B2E">
        <w:rPr>
          <w:rFonts w:ascii="Times New Roman" w:hAnsi="Times New Roman" w:cs="Times New Roman"/>
          <w:sz w:val="24"/>
          <w:szCs w:val="24"/>
        </w:rPr>
        <w:t>nd has no mechanism for a shock never seen in training.</w:t>
      </w:r>
    </w:p>
    <w:p w14:paraId="0494AE5C"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SARIMAX adds Berlin weekly temperature to test whether an explanatory covariate can close this gap. An initial version using three collinear, unscaled temperature features with numerical constraints relaxed diverged badly out-of-sample (RMSE 34,626.9 MW) because of near-singular covariance from collinearity — an instructive failure showing that adding covariates carelessly can make a model worse than doing nothing. Correcting this by standardising features on the training window only and retaining just temp</w:t>
      </w:r>
      <w:r w:rsidRPr="00F87B2E">
        <w:rPr>
          <w:rFonts w:ascii="Times New Roman" w:hAnsi="Times New Roman" w:cs="Times New Roman"/>
          <w:sz w:val="24"/>
          <w:szCs w:val="24"/>
        </w:rPr>
        <w:t xml:space="preserve">_lag1 and </w:t>
      </w:r>
      <w:proofErr w:type="spellStart"/>
      <w:r w:rsidRPr="00F87B2E">
        <w:rPr>
          <w:rFonts w:ascii="Times New Roman" w:hAnsi="Times New Roman" w:cs="Times New Roman"/>
          <w:sz w:val="24"/>
          <w:szCs w:val="24"/>
        </w:rPr>
        <w:t>temp_sq</w:t>
      </w:r>
      <w:proofErr w:type="spellEnd"/>
      <w:r w:rsidRPr="00F87B2E">
        <w:rPr>
          <w:rFonts w:ascii="Times New Roman" w:hAnsi="Times New Roman" w:cs="Times New Roman"/>
          <w:sz w:val="24"/>
          <w:szCs w:val="24"/>
        </w:rPr>
        <w:t xml:space="preserve"> (dropping the collinear temp_lag4) restored a stable fit.</w:t>
      </w:r>
    </w:p>
    <w:p w14:paraId="56F1C1CF" w14:textId="77777777" w:rsidR="003D7135" w:rsidRPr="00F87B2E" w:rsidRDefault="008C601E">
      <w:pPr>
        <w:spacing w:before="200" w:after="80"/>
        <w:jc w:val="center"/>
        <w:rPr>
          <w:rFonts w:ascii="Times New Roman" w:hAnsi="Times New Roman" w:cs="Times New Roman"/>
          <w:sz w:val="24"/>
          <w:szCs w:val="24"/>
        </w:rPr>
      </w:pPr>
      <w:r w:rsidRPr="00F87B2E">
        <w:rPr>
          <w:rFonts w:ascii="Times New Roman" w:hAnsi="Times New Roman" w:cs="Times New Roman"/>
          <w:noProof/>
          <w:sz w:val="24"/>
          <w:szCs w:val="24"/>
        </w:rPr>
        <w:drawing>
          <wp:inline distT="0" distB="0" distL="0" distR="0" wp14:anchorId="32AF32A8" wp14:editId="063724BC">
            <wp:extent cx="5486400" cy="2171700"/>
            <wp:effectExtent l="0" t="0" r="0" b="0"/>
            <wp:docPr id="927445656" name="Picture 92744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2171700"/>
                    </a:xfrm>
                    <a:prstGeom prst="rect">
                      <a:avLst/>
                    </a:prstGeom>
                  </pic:spPr>
                </pic:pic>
              </a:graphicData>
            </a:graphic>
          </wp:inline>
        </w:drawing>
      </w:r>
    </w:p>
    <w:p w14:paraId="13A4F97E" w14:textId="77777777" w:rsidR="003D7135" w:rsidRPr="00F87B2E" w:rsidRDefault="008C601E">
      <w:pPr>
        <w:spacing w:after="240"/>
        <w:jc w:val="center"/>
        <w:rPr>
          <w:rFonts w:ascii="Times New Roman" w:hAnsi="Times New Roman" w:cs="Times New Roman"/>
          <w:sz w:val="24"/>
          <w:szCs w:val="24"/>
        </w:rPr>
      </w:pPr>
      <w:r w:rsidRPr="00F87B2E">
        <w:rPr>
          <w:rFonts w:ascii="Times New Roman" w:hAnsi="Times New Roman" w:cs="Times New Roman"/>
          <w:b/>
          <w:bCs/>
          <w:sz w:val="24"/>
          <w:szCs w:val="24"/>
        </w:rPr>
        <w:t>Figure 5. Corrected SARIMAX forecast (temperature covariates) against actual demand.</w:t>
      </w:r>
    </w:p>
    <w:p w14:paraId="3B0421B4"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SARIMAX reduces RMSE to 3223.1 MW — a 42% improvement on SARIMA, confirming temperature carries genuine predictive information via heating/cooling load — but still falls short of Seasonal Naive, showing temperature alone cannot fully substitute for the richer feature set used by the tree-based models below. This is a conditional forecast (it uses observed, not forecast, future temperature) and one coefficient (temp_lag1) has an undefined standard error due to residual collinearity, so its individual signifi</w:t>
      </w:r>
      <w:r w:rsidRPr="00F87B2E">
        <w:rPr>
          <w:rFonts w:ascii="Times New Roman" w:hAnsi="Times New Roman" w:cs="Times New Roman"/>
          <w:sz w:val="24"/>
          <w:szCs w:val="24"/>
        </w:rPr>
        <w:t>cance should be read cautiously even though the forecast itself is stable.</w:t>
      </w:r>
    </w:p>
    <w:p w14:paraId="288DC272" w14:textId="77777777" w:rsidR="003D7135" w:rsidRPr="00FC4A92" w:rsidRDefault="008C601E">
      <w:pPr>
        <w:pStyle w:val="Heading1"/>
        <w:spacing w:before="360" w:after="200"/>
        <w:rPr>
          <w:rFonts w:ascii="Times New Roman" w:hAnsi="Times New Roman" w:cs="Times New Roman"/>
          <w:color w:val="auto"/>
        </w:rPr>
      </w:pPr>
      <w:r w:rsidRPr="00FC4A92">
        <w:rPr>
          <w:rFonts w:ascii="Times New Roman" w:hAnsi="Times New Roman" w:cs="Times New Roman"/>
          <w:color w:val="auto"/>
        </w:rPr>
        <w:t>5. Feature-Based Regression: Random Forest and Gradient Boosting</w:t>
      </w:r>
    </w:p>
    <w:p w14:paraId="616950E6"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lastRenderedPageBreak/>
        <w:t xml:space="preserve">Tree-based ensembles were chosen because, unlike SARIMA/SARIMAX, they impose no fixed linear form and can learn interactions (e.g. temperature effects differing by season) automatically from a rich engineered feature set: calendar features (cyclically-encoded week-of-year, month, year), load lags (1, 2, 4, 8, 52 weeks), rolling means (4, 8, 52 weeks, shifted to avoid leakage), and temperature lags/squared temperature. Random Forest (500 trees; </w:t>
      </w:r>
      <w:proofErr w:type="spellStart"/>
      <w:r w:rsidRPr="00F87B2E">
        <w:rPr>
          <w:rFonts w:ascii="Times New Roman" w:hAnsi="Times New Roman" w:cs="Times New Roman"/>
          <w:sz w:val="24"/>
          <w:szCs w:val="24"/>
        </w:rPr>
        <w:t>Breiman</w:t>
      </w:r>
      <w:proofErr w:type="spellEnd"/>
      <w:r w:rsidRPr="00F87B2E">
        <w:rPr>
          <w:rFonts w:ascii="Times New Roman" w:hAnsi="Times New Roman" w:cs="Times New Roman"/>
          <w:sz w:val="24"/>
          <w:szCs w:val="24"/>
        </w:rPr>
        <w:t>, 2001) averages many de-correlated trees to reduce variance; Gradient Boosting (300 stages, learning rate 0.05, depth 4; Friedman, 2001) instead fits trees sequentially to residual errors, trading a little more overfitting risk for potentially finer pattern capture.</w:t>
      </w:r>
    </w:p>
    <w:p w14:paraId="20517E51" w14:textId="77777777" w:rsidR="003D7135" w:rsidRPr="00F87B2E" w:rsidRDefault="008C601E">
      <w:pPr>
        <w:spacing w:before="200" w:after="80"/>
        <w:jc w:val="center"/>
        <w:rPr>
          <w:rFonts w:ascii="Times New Roman" w:hAnsi="Times New Roman" w:cs="Times New Roman"/>
          <w:sz w:val="24"/>
          <w:szCs w:val="24"/>
        </w:rPr>
      </w:pPr>
      <w:r w:rsidRPr="00F87B2E">
        <w:rPr>
          <w:rFonts w:ascii="Times New Roman" w:hAnsi="Times New Roman" w:cs="Times New Roman"/>
          <w:noProof/>
          <w:sz w:val="24"/>
          <w:szCs w:val="24"/>
        </w:rPr>
        <w:drawing>
          <wp:inline distT="0" distB="0" distL="0" distR="0" wp14:anchorId="0C8901A3" wp14:editId="7F108CAC">
            <wp:extent cx="5486400" cy="2038350"/>
            <wp:effectExtent l="0" t="0" r="0" b="0"/>
            <wp:docPr id="2124450383" name="Picture 2124450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038350"/>
                    </a:xfrm>
                    <a:prstGeom prst="rect">
                      <a:avLst/>
                    </a:prstGeom>
                  </pic:spPr>
                </pic:pic>
              </a:graphicData>
            </a:graphic>
          </wp:inline>
        </w:drawing>
      </w:r>
    </w:p>
    <w:p w14:paraId="7167BF71" w14:textId="77777777" w:rsidR="003D7135" w:rsidRPr="00F87B2E" w:rsidRDefault="008C601E">
      <w:pPr>
        <w:spacing w:after="240"/>
        <w:jc w:val="center"/>
        <w:rPr>
          <w:rFonts w:ascii="Times New Roman" w:hAnsi="Times New Roman" w:cs="Times New Roman"/>
          <w:sz w:val="24"/>
          <w:szCs w:val="24"/>
        </w:rPr>
      </w:pPr>
      <w:r w:rsidRPr="00F87B2E">
        <w:rPr>
          <w:rFonts w:ascii="Times New Roman" w:hAnsi="Times New Roman" w:cs="Times New Roman"/>
          <w:b/>
          <w:bCs/>
          <w:sz w:val="24"/>
          <w:szCs w:val="24"/>
        </w:rPr>
        <w:t>Figure 6. Random Forest and Gradient Boosting feature importance rankings.</w:t>
      </w:r>
    </w:p>
    <w:p w14:paraId="34283FF9"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Both models place load_lag52 far above every other feature (Figure 6), independently reproducing the same conclusion SARIMA’s seasonal-AR coefficient reached in Section 4: annual repetition is the dominant signal in this series regardless of model family. Cyclical week encodings and short load lags form a clear second tier, while temperature features rank comparatively low — directly explaining why SARIMAX (temperature alone) could not overtake Seasonal Naive, whereas these models, which also see recent loa</w:t>
      </w:r>
      <w:r w:rsidRPr="00F87B2E">
        <w:rPr>
          <w:rFonts w:ascii="Times New Roman" w:hAnsi="Times New Roman" w:cs="Times New Roman"/>
          <w:sz w:val="24"/>
          <w:szCs w:val="24"/>
        </w:rPr>
        <w:t>d lags, can.</w:t>
      </w:r>
    </w:p>
    <w:p w14:paraId="072AF8EB" w14:textId="77777777" w:rsidR="003D7135" w:rsidRPr="00F87B2E" w:rsidRDefault="008C601E">
      <w:pPr>
        <w:spacing w:before="200" w:after="80"/>
        <w:jc w:val="center"/>
        <w:rPr>
          <w:rFonts w:ascii="Times New Roman" w:hAnsi="Times New Roman" w:cs="Times New Roman"/>
          <w:sz w:val="24"/>
          <w:szCs w:val="24"/>
        </w:rPr>
      </w:pPr>
      <w:r w:rsidRPr="00F87B2E">
        <w:rPr>
          <w:rFonts w:ascii="Times New Roman" w:hAnsi="Times New Roman" w:cs="Times New Roman"/>
          <w:noProof/>
          <w:sz w:val="24"/>
          <w:szCs w:val="24"/>
        </w:rPr>
        <w:drawing>
          <wp:inline distT="0" distB="0" distL="0" distR="0" wp14:anchorId="38F1A71C" wp14:editId="29A4A421">
            <wp:extent cx="5486400" cy="2171700"/>
            <wp:effectExtent l="0" t="0" r="0" b="0"/>
            <wp:docPr id="2065424858" name="Picture 2065424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171700"/>
                    </a:xfrm>
                    <a:prstGeom prst="rect">
                      <a:avLst/>
                    </a:prstGeom>
                  </pic:spPr>
                </pic:pic>
              </a:graphicData>
            </a:graphic>
          </wp:inline>
        </w:drawing>
      </w:r>
    </w:p>
    <w:p w14:paraId="169C1176" w14:textId="77777777" w:rsidR="003D7135" w:rsidRPr="00F87B2E" w:rsidRDefault="008C601E">
      <w:pPr>
        <w:spacing w:after="240"/>
        <w:jc w:val="center"/>
        <w:rPr>
          <w:rFonts w:ascii="Times New Roman" w:hAnsi="Times New Roman" w:cs="Times New Roman"/>
          <w:sz w:val="24"/>
          <w:szCs w:val="24"/>
        </w:rPr>
      </w:pPr>
      <w:r w:rsidRPr="00F87B2E">
        <w:rPr>
          <w:rFonts w:ascii="Times New Roman" w:hAnsi="Times New Roman" w:cs="Times New Roman"/>
          <w:b/>
          <w:bCs/>
          <w:sz w:val="24"/>
          <w:szCs w:val="24"/>
        </w:rPr>
        <w:t xml:space="preserve">Figure 7. Random Forest and Gradient Boosting </w:t>
      </w:r>
      <w:proofErr w:type="gramStart"/>
      <w:r w:rsidRPr="00F87B2E">
        <w:rPr>
          <w:rFonts w:ascii="Times New Roman" w:hAnsi="Times New Roman" w:cs="Times New Roman"/>
          <w:b/>
          <w:bCs/>
          <w:sz w:val="24"/>
          <w:szCs w:val="24"/>
        </w:rPr>
        <w:t>forecasts</w:t>
      </w:r>
      <w:proofErr w:type="gramEnd"/>
      <w:r w:rsidRPr="00F87B2E">
        <w:rPr>
          <w:rFonts w:ascii="Times New Roman" w:hAnsi="Times New Roman" w:cs="Times New Roman"/>
          <w:b/>
          <w:bCs/>
          <w:sz w:val="24"/>
          <w:szCs w:val="24"/>
        </w:rPr>
        <w:t xml:space="preserve"> against actual demand.</w:t>
      </w:r>
    </w:p>
    <w:p w14:paraId="7C569748"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Both models beat Seasonal Naive by about 11% (RF: RMSE 2663.0 MW; GB: RMSE 2680.5 MW), and Figure 7 shows both track the actual COVID-19 dip and recovery considerably more closely than SARIMA/SARIMAX (Figures 4-5), because the load-lag features let them anchor directly to the most recent actual observations rather than relying purely on a fixed seasonal pattern. Random Forest is marginally more accurate than Gradient Boosting; given the difference is small (0.7% RMSE), the choice between them is better made</w:t>
      </w:r>
      <w:r w:rsidRPr="00F87B2E">
        <w:rPr>
          <w:rFonts w:ascii="Times New Roman" w:hAnsi="Times New Roman" w:cs="Times New Roman"/>
          <w:sz w:val="24"/>
          <w:szCs w:val="24"/>
        </w:rPr>
        <w:t xml:space="preserve"> on operational grounds (Section 8) than accuracy alone.</w:t>
      </w:r>
    </w:p>
    <w:p w14:paraId="20F6A6EF" w14:textId="77777777" w:rsidR="003D7135" w:rsidRPr="00FC4A92" w:rsidRDefault="008C601E">
      <w:pPr>
        <w:pStyle w:val="Heading1"/>
        <w:spacing w:before="360" w:after="200"/>
        <w:rPr>
          <w:rFonts w:ascii="Times New Roman" w:hAnsi="Times New Roman" w:cs="Times New Roman"/>
          <w:color w:val="auto"/>
        </w:rPr>
      </w:pPr>
      <w:r w:rsidRPr="00FC4A92">
        <w:rPr>
          <w:rFonts w:ascii="Times New Roman" w:hAnsi="Times New Roman" w:cs="Times New Roman"/>
          <w:color w:val="auto"/>
        </w:rPr>
        <w:lastRenderedPageBreak/>
        <w:t>6. LSTM Neural Networks</w:t>
      </w:r>
    </w:p>
    <w:p w14:paraId="316EE961"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 xml:space="preserve">LSTM networks (Hochreiter and </w:t>
      </w:r>
      <w:proofErr w:type="spellStart"/>
      <w:r w:rsidRPr="00F87B2E">
        <w:rPr>
          <w:rFonts w:ascii="Times New Roman" w:hAnsi="Times New Roman" w:cs="Times New Roman"/>
          <w:sz w:val="24"/>
          <w:szCs w:val="24"/>
        </w:rPr>
        <w:t>Schmidhuber</w:t>
      </w:r>
      <w:proofErr w:type="spellEnd"/>
      <w:r w:rsidRPr="00F87B2E">
        <w:rPr>
          <w:rFonts w:ascii="Times New Roman" w:hAnsi="Times New Roman" w:cs="Times New Roman"/>
          <w:sz w:val="24"/>
          <w:szCs w:val="24"/>
        </w:rPr>
        <w:t>, 1997) use gated memory cells to overcome the vanishing-gradient problem that limits standard RNNs on long sequences, making them well suited to demand data with structure at multiple scales (daily, weekly, annual) without hand-engineered features. Uniquely among the models here, both networks were trained directly on the hourly series using 24-hour input windows, scaled to [0,1] on the training portion only. A Stacked LSTM (64→32 units, dropout 0.2, Adam, MSE loss, batch 256, early stopping) an</w:t>
      </w:r>
      <w:r w:rsidRPr="00F87B2E">
        <w:rPr>
          <w:rFonts w:ascii="Times New Roman" w:hAnsi="Times New Roman" w:cs="Times New Roman"/>
          <w:sz w:val="24"/>
          <w:szCs w:val="24"/>
        </w:rPr>
        <w:t xml:space="preserve">d a Bidirectional LSTM (32→16 units per direction) were trained; the stacked model ran the full 20 epochs with validation loss falling smoothly from 0.025 to 0.0006, while the </w:t>
      </w:r>
      <w:proofErr w:type="spellStart"/>
      <w:r w:rsidRPr="00F87B2E">
        <w:rPr>
          <w:rFonts w:ascii="Times New Roman" w:hAnsi="Times New Roman" w:cs="Times New Roman"/>
          <w:sz w:val="24"/>
          <w:szCs w:val="24"/>
        </w:rPr>
        <w:t>BiLSTM</w:t>
      </w:r>
      <w:proofErr w:type="spellEnd"/>
      <w:r w:rsidRPr="00F87B2E">
        <w:rPr>
          <w:rFonts w:ascii="Times New Roman" w:hAnsi="Times New Roman" w:cs="Times New Roman"/>
          <w:sz w:val="24"/>
          <w:szCs w:val="24"/>
        </w:rPr>
        <w:t xml:space="preserve"> stopped early at epoch 5.</w:t>
      </w:r>
    </w:p>
    <w:p w14:paraId="06FBFDD1" w14:textId="77777777" w:rsidR="003D7135" w:rsidRPr="00F87B2E" w:rsidRDefault="008C601E">
      <w:pPr>
        <w:spacing w:before="200" w:after="80"/>
        <w:jc w:val="center"/>
        <w:rPr>
          <w:rFonts w:ascii="Times New Roman" w:hAnsi="Times New Roman" w:cs="Times New Roman"/>
          <w:sz w:val="24"/>
          <w:szCs w:val="24"/>
        </w:rPr>
      </w:pPr>
      <w:r w:rsidRPr="00F87B2E">
        <w:rPr>
          <w:rFonts w:ascii="Times New Roman" w:hAnsi="Times New Roman" w:cs="Times New Roman"/>
          <w:noProof/>
          <w:sz w:val="24"/>
          <w:szCs w:val="24"/>
        </w:rPr>
        <w:drawing>
          <wp:inline distT="0" distB="0" distL="0" distR="0" wp14:anchorId="2C39605A" wp14:editId="303238C9">
            <wp:extent cx="5486400" cy="2171700"/>
            <wp:effectExtent l="0" t="0" r="0" b="0"/>
            <wp:docPr id="1828426197" name="Picture 1828426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2171700"/>
                    </a:xfrm>
                    <a:prstGeom prst="rect">
                      <a:avLst/>
                    </a:prstGeom>
                  </pic:spPr>
                </pic:pic>
              </a:graphicData>
            </a:graphic>
          </wp:inline>
        </w:drawing>
      </w:r>
    </w:p>
    <w:p w14:paraId="0C44EAA9" w14:textId="77777777" w:rsidR="003D7135" w:rsidRPr="00F87B2E" w:rsidRDefault="008C601E">
      <w:pPr>
        <w:spacing w:after="240"/>
        <w:jc w:val="center"/>
        <w:rPr>
          <w:rFonts w:ascii="Times New Roman" w:hAnsi="Times New Roman" w:cs="Times New Roman"/>
          <w:sz w:val="24"/>
          <w:szCs w:val="24"/>
        </w:rPr>
      </w:pPr>
      <w:r w:rsidRPr="00F87B2E">
        <w:rPr>
          <w:rFonts w:ascii="Times New Roman" w:hAnsi="Times New Roman" w:cs="Times New Roman"/>
          <w:b/>
          <w:bCs/>
          <w:sz w:val="24"/>
          <w:szCs w:val="24"/>
        </w:rPr>
        <w:t xml:space="preserve">Figure 8. Weekly-aggregated LSTM and </w:t>
      </w:r>
      <w:proofErr w:type="spellStart"/>
      <w:r w:rsidRPr="00F87B2E">
        <w:rPr>
          <w:rFonts w:ascii="Times New Roman" w:hAnsi="Times New Roman" w:cs="Times New Roman"/>
          <w:b/>
          <w:bCs/>
          <w:sz w:val="24"/>
          <w:szCs w:val="24"/>
        </w:rPr>
        <w:t>BiLSTM</w:t>
      </w:r>
      <w:proofErr w:type="spellEnd"/>
      <w:r w:rsidRPr="00F87B2E">
        <w:rPr>
          <w:rFonts w:ascii="Times New Roman" w:hAnsi="Times New Roman" w:cs="Times New Roman"/>
          <w:b/>
          <w:bCs/>
          <w:sz w:val="24"/>
          <w:szCs w:val="24"/>
        </w:rPr>
        <w:t xml:space="preserve"> forecasts against actual demand.</w:t>
      </w:r>
    </w:p>
    <w:p w14:paraId="4AEAFD8E"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 xml:space="preserve">Aggregated to weekly means for comparison, the Stacked LSTM achieves the lowest error of any model (RMSE 128.7 MW) and the </w:t>
      </w:r>
      <w:proofErr w:type="spellStart"/>
      <w:r w:rsidRPr="00F87B2E">
        <w:rPr>
          <w:rFonts w:ascii="Times New Roman" w:hAnsi="Times New Roman" w:cs="Times New Roman"/>
          <w:sz w:val="24"/>
          <w:szCs w:val="24"/>
        </w:rPr>
        <w:t>BiLSTM</w:t>
      </w:r>
      <w:proofErr w:type="spellEnd"/>
      <w:r w:rsidRPr="00F87B2E">
        <w:rPr>
          <w:rFonts w:ascii="Times New Roman" w:hAnsi="Times New Roman" w:cs="Times New Roman"/>
          <w:sz w:val="24"/>
          <w:szCs w:val="24"/>
        </w:rPr>
        <w:t xml:space="preserve"> is second (RMSE 704.3 MW), both tracking the actual test-period data, including the COVID-19 dip, far more tightly than any other model (Figure 8). Part of this advantage is a genuine result of the network learning fine-grained hourly structure, but part is a measurement artefact: aggregating hourly predictions to weekly means smooths out random hourly error, deflating the resulting weekly RMSE relative to models that forecast directly at weekly resolution, so this comparison is informative but not p</w:t>
      </w:r>
      <w:r w:rsidRPr="00F87B2E">
        <w:rPr>
          <w:rFonts w:ascii="Times New Roman" w:hAnsi="Times New Roman" w:cs="Times New Roman"/>
          <w:sz w:val="24"/>
          <w:szCs w:val="24"/>
        </w:rPr>
        <w:t xml:space="preserve">erfectly like-for-like. The </w:t>
      </w:r>
      <w:proofErr w:type="spellStart"/>
      <w:r w:rsidRPr="00F87B2E">
        <w:rPr>
          <w:rFonts w:ascii="Times New Roman" w:hAnsi="Times New Roman" w:cs="Times New Roman"/>
          <w:sz w:val="24"/>
          <w:szCs w:val="24"/>
        </w:rPr>
        <w:t>BiLSTM</w:t>
      </w:r>
      <w:proofErr w:type="spellEnd"/>
      <w:r w:rsidRPr="00F87B2E">
        <w:rPr>
          <w:rFonts w:ascii="Times New Roman" w:hAnsi="Times New Roman" w:cs="Times New Roman"/>
          <w:sz w:val="24"/>
          <w:szCs w:val="24"/>
        </w:rPr>
        <w:t xml:space="preserve"> is also not operationally realistic as configured, since it uses both past and future context within each window, which is unavailable at real forecast time; it is included here as a representational-capacity benchmark rather than a deployable design. Both networks carry materially higher computational cost and much lower interpretability than every other model in this report.</w:t>
      </w:r>
    </w:p>
    <w:p w14:paraId="340E1836" w14:textId="77777777" w:rsidR="003D7135" w:rsidRPr="00FC4A92" w:rsidRDefault="008C601E">
      <w:pPr>
        <w:pStyle w:val="Heading1"/>
        <w:spacing w:before="360" w:after="200"/>
        <w:rPr>
          <w:rFonts w:ascii="Times New Roman" w:hAnsi="Times New Roman" w:cs="Times New Roman"/>
          <w:color w:val="auto"/>
        </w:rPr>
      </w:pPr>
      <w:r w:rsidRPr="00FC4A92">
        <w:rPr>
          <w:rFonts w:ascii="Times New Roman" w:hAnsi="Times New Roman" w:cs="Times New Roman"/>
          <w:color w:val="auto"/>
        </w:rPr>
        <w:t>7. Model Comparison and Critical Discussion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50"/>
        <w:gridCol w:w="1550"/>
        <w:gridCol w:w="1450"/>
        <w:gridCol w:w="2076"/>
      </w:tblGrid>
      <w:tr w:rsidR="00FC4A92" w:rsidRPr="00F87B2E" w14:paraId="6735B94F" w14:textId="77777777">
        <w:trPr>
          <w:tblHeader/>
        </w:trPr>
        <w:tc>
          <w:tcPr>
            <w:tcW w:w="2400" w:type="dxa"/>
            <w:shd w:val="clear" w:color="auto" w:fill="D9E2F3"/>
            <w:tcMar>
              <w:top w:w="60" w:type="dxa"/>
              <w:left w:w="100" w:type="dxa"/>
              <w:bottom w:w="60" w:type="dxa"/>
              <w:right w:w="100" w:type="dxa"/>
            </w:tcMar>
            <w:vAlign w:val="center"/>
          </w:tcPr>
          <w:p w14:paraId="1BC3B17A"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b/>
                <w:bCs/>
                <w:sz w:val="24"/>
                <w:szCs w:val="24"/>
              </w:rPr>
              <w:t>Model</w:t>
            </w:r>
          </w:p>
        </w:tc>
        <w:tc>
          <w:tcPr>
            <w:tcW w:w="1550" w:type="dxa"/>
            <w:shd w:val="clear" w:color="auto" w:fill="D9E2F3"/>
            <w:tcMar>
              <w:top w:w="60" w:type="dxa"/>
              <w:left w:w="100" w:type="dxa"/>
              <w:bottom w:w="60" w:type="dxa"/>
              <w:right w:w="100" w:type="dxa"/>
            </w:tcMar>
            <w:vAlign w:val="center"/>
          </w:tcPr>
          <w:p w14:paraId="3D7C5157"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b/>
                <w:bCs/>
                <w:sz w:val="24"/>
                <w:szCs w:val="24"/>
              </w:rPr>
              <w:t>RMSE (MW)</w:t>
            </w:r>
          </w:p>
        </w:tc>
        <w:tc>
          <w:tcPr>
            <w:tcW w:w="1550" w:type="dxa"/>
            <w:shd w:val="clear" w:color="auto" w:fill="D9E2F3"/>
            <w:tcMar>
              <w:top w:w="60" w:type="dxa"/>
              <w:left w:w="100" w:type="dxa"/>
              <w:bottom w:w="60" w:type="dxa"/>
              <w:right w:w="100" w:type="dxa"/>
            </w:tcMar>
            <w:vAlign w:val="center"/>
          </w:tcPr>
          <w:p w14:paraId="65493D09"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b/>
                <w:bCs/>
                <w:sz w:val="24"/>
                <w:szCs w:val="24"/>
              </w:rPr>
              <w:t>MAE (MW)</w:t>
            </w:r>
          </w:p>
        </w:tc>
        <w:tc>
          <w:tcPr>
            <w:tcW w:w="1450" w:type="dxa"/>
            <w:shd w:val="clear" w:color="auto" w:fill="D9E2F3"/>
            <w:tcMar>
              <w:top w:w="60" w:type="dxa"/>
              <w:left w:w="100" w:type="dxa"/>
              <w:bottom w:w="60" w:type="dxa"/>
              <w:right w:w="100" w:type="dxa"/>
            </w:tcMar>
            <w:vAlign w:val="center"/>
          </w:tcPr>
          <w:p w14:paraId="45B77895"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b/>
                <w:bCs/>
                <w:sz w:val="24"/>
                <w:szCs w:val="24"/>
              </w:rPr>
              <w:t>MAPE (%)</w:t>
            </w:r>
          </w:p>
        </w:tc>
        <w:tc>
          <w:tcPr>
            <w:tcW w:w="2076" w:type="dxa"/>
            <w:shd w:val="clear" w:color="auto" w:fill="D9E2F3"/>
            <w:tcMar>
              <w:top w:w="60" w:type="dxa"/>
              <w:left w:w="100" w:type="dxa"/>
              <w:bottom w:w="60" w:type="dxa"/>
              <w:right w:w="100" w:type="dxa"/>
            </w:tcMar>
            <w:vAlign w:val="center"/>
          </w:tcPr>
          <w:p w14:paraId="2A99BEB4"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b/>
                <w:bCs/>
                <w:sz w:val="24"/>
                <w:szCs w:val="24"/>
              </w:rPr>
              <w:t>Skill vs Seas. Naive</w:t>
            </w:r>
          </w:p>
        </w:tc>
      </w:tr>
      <w:tr w:rsidR="00FC4A92" w:rsidRPr="00F87B2E" w14:paraId="0FB46D36" w14:textId="77777777">
        <w:tc>
          <w:tcPr>
            <w:tcW w:w="2400" w:type="dxa"/>
            <w:tcMar>
              <w:top w:w="50" w:type="dxa"/>
              <w:left w:w="100" w:type="dxa"/>
              <w:bottom w:w="50" w:type="dxa"/>
              <w:right w:w="100" w:type="dxa"/>
            </w:tcMar>
            <w:vAlign w:val="center"/>
          </w:tcPr>
          <w:p w14:paraId="1312F534" w14:textId="77777777" w:rsidR="003D7135" w:rsidRPr="00F87B2E" w:rsidRDefault="008C601E">
            <w:pPr>
              <w:rPr>
                <w:rFonts w:ascii="Times New Roman" w:hAnsi="Times New Roman" w:cs="Times New Roman"/>
                <w:sz w:val="24"/>
                <w:szCs w:val="24"/>
              </w:rPr>
            </w:pPr>
            <w:r w:rsidRPr="00F87B2E">
              <w:rPr>
                <w:rFonts w:ascii="Times New Roman" w:hAnsi="Times New Roman" w:cs="Times New Roman"/>
                <w:b/>
                <w:bCs/>
                <w:sz w:val="24"/>
                <w:szCs w:val="24"/>
              </w:rPr>
              <w:t>Stacked LSTM</w:t>
            </w:r>
          </w:p>
        </w:tc>
        <w:tc>
          <w:tcPr>
            <w:tcW w:w="1550" w:type="dxa"/>
            <w:tcMar>
              <w:top w:w="50" w:type="dxa"/>
              <w:left w:w="100" w:type="dxa"/>
              <w:bottom w:w="50" w:type="dxa"/>
              <w:right w:w="100" w:type="dxa"/>
            </w:tcMar>
            <w:vAlign w:val="center"/>
          </w:tcPr>
          <w:p w14:paraId="595575C6"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b/>
                <w:bCs/>
                <w:sz w:val="24"/>
                <w:szCs w:val="24"/>
              </w:rPr>
              <w:t>128.7</w:t>
            </w:r>
          </w:p>
        </w:tc>
        <w:tc>
          <w:tcPr>
            <w:tcW w:w="1550" w:type="dxa"/>
            <w:tcMar>
              <w:top w:w="50" w:type="dxa"/>
              <w:left w:w="100" w:type="dxa"/>
              <w:bottom w:w="50" w:type="dxa"/>
              <w:right w:w="100" w:type="dxa"/>
            </w:tcMar>
            <w:vAlign w:val="center"/>
          </w:tcPr>
          <w:p w14:paraId="3E941B60"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b/>
                <w:bCs/>
                <w:sz w:val="24"/>
                <w:szCs w:val="24"/>
              </w:rPr>
              <w:t>100.3</w:t>
            </w:r>
          </w:p>
        </w:tc>
        <w:tc>
          <w:tcPr>
            <w:tcW w:w="1450" w:type="dxa"/>
            <w:tcMar>
              <w:top w:w="50" w:type="dxa"/>
              <w:left w:w="100" w:type="dxa"/>
              <w:bottom w:w="50" w:type="dxa"/>
              <w:right w:w="100" w:type="dxa"/>
            </w:tcMar>
            <w:vAlign w:val="center"/>
          </w:tcPr>
          <w:p w14:paraId="52EB01AC"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b/>
                <w:bCs/>
                <w:sz w:val="24"/>
                <w:szCs w:val="24"/>
              </w:rPr>
              <w:t>0.18</w:t>
            </w:r>
          </w:p>
        </w:tc>
        <w:tc>
          <w:tcPr>
            <w:tcW w:w="2076" w:type="dxa"/>
            <w:tcMar>
              <w:top w:w="50" w:type="dxa"/>
              <w:left w:w="100" w:type="dxa"/>
              <w:bottom w:w="50" w:type="dxa"/>
              <w:right w:w="100" w:type="dxa"/>
            </w:tcMar>
            <w:vAlign w:val="center"/>
          </w:tcPr>
          <w:p w14:paraId="1CAC0E7C"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b/>
                <w:bCs/>
                <w:sz w:val="24"/>
                <w:szCs w:val="24"/>
              </w:rPr>
              <w:t>+0.96</w:t>
            </w:r>
          </w:p>
        </w:tc>
      </w:tr>
      <w:tr w:rsidR="00FC4A92" w:rsidRPr="00F87B2E" w14:paraId="60BE419A" w14:textId="77777777">
        <w:tc>
          <w:tcPr>
            <w:tcW w:w="2400" w:type="dxa"/>
            <w:shd w:val="clear" w:color="auto" w:fill="F2F2F2"/>
            <w:tcMar>
              <w:top w:w="50" w:type="dxa"/>
              <w:left w:w="100" w:type="dxa"/>
              <w:bottom w:w="50" w:type="dxa"/>
              <w:right w:w="100" w:type="dxa"/>
            </w:tcMar>
            <w:vAlign w:val="center"/>
          </w:tcPr>
          <w:p w14:paraId="17CE7302" w14:textId="77777777" w:rsidR="003D7135" w:rsidRPr="00F87B2E" w:rsidRDefault="008C601E">
            <w:pPr>
              <w:rPr>
                <w:rFonts w:ascii="Times New Roman" w:hAnsi="Times New Roman" w:cs="Times New Roman"/>
                <w:sz w:val="24"/>
                <w:szCs w:val="24"/>
              </w:rPr>
            </w:pPr>
            <w:r w:rsidRPr="00F87B2E">
              <w:rPr>
                <w:rFonts w:ascii="Times New Roman" w:hAnsi="Times New Roman" w:cs="Times New Roman"/>
                <w:sz w:val="24"/>
                <w:szCs w:val="24"/>
              </w:rPr>
              <w:t>Bidirectional LSTM</w:t>
            </w:r>
          </w:p>
        </w:tc>
        <w:tc>
          <w:tcPr>
            <w:tcW w:w="1550" w:type="dxa"/>
            <w:shd w:val="clear" w:color="auto" w:fill="F2F2F2"/>
            <w:tcMar>
              <w:top w:w="50" w:type="dxa"/>
              <w:left w:w="100" w:type="dxa"/>
              <w:bottom w:w="50" w:type="dxa"/>
              <w:right w:w="100" w:type="dxa"/>
            </w:tcMar>
            <w:vAlign w:val="center"/>
          </w:tcPr>
          <w:p w14:paraId="661EC4A7"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704.3</w:t>
            </w:r>
          </w:p>
        </w:tc>
        <w:tc>
          <w:tcPr>
            <w:tcW w:w="1550" w:type="dxa"/>
            <w:shd w:val="clear" w:color="auto" w:fill="F2F2F2"/>
            <w:tcMar>
              <w:top w:w="50" w:type="dxa"/>
              <w:left w:w="100" w:type="dxa"/>
              <w:bottom w:w="50" w:type="dxa"/>
              <w:right w:w="100" w:type="dxa"/>
            </w:tcMar>
            <w:vAlign w:val="center"/>
          </w:tcPr>
          <w:p w14:paraId="456B2BF6"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592.3</w:t>
            </w:r>
          </w:p>
        </w:tc>
        <w:tc>
          <w:tcPr>
            <w:tcW w:w="1450" w:type="dxa"/>
            <w:shd w:val="clear" w:color="auto" w:fill="F2F2F2"/>
            <w:tcMar>
              <w:top w:w="50" w:type="dxa"/>
              <w:left w:w="100" w:type="dxa"/>
              <w:bottom w:w="50" w:type="dxa"/>
              <w:right w:w="100" w:type="dxa"/>
            </w:tcMar>
            <w:vAlign w:val="center"/>
          </w:tcPr>
          <w:p w14:paraId="3B82486C"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1.08</w:t>
            </w:r>
          </w:p>
        </w:tc>
        <w:tc>
          <w:tcPr>
            <w:tcW w:w="2076" w:type="dxa"/>
            <w:shd w:val="clear" w:color="auto" w:fill="F2F2F2"/>
            <w:tcMar>
              <w:top w:w="50" w:type="dxa"/>
              <w:left w:w="100" w:type="dxa"/>
              <w:bottom w:w="50" w:type="dxa"/>
              <w:right w:w="100" w:type="dxa"/>
            </w:tcMar>
            <w:vAlign w:val="center"/>
          </w:tcPr>
          <w:p w14:paraId="102118BA"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+0.77</w:t>
            </w:r>
          </w:p>
        </w:tc>
      </w:tr>
      <w:tr w:rsidR="00FC4A92" w:rsidRPr="00F87B2E" w14:paraId="37B3D93C" w14:textId="77777777">
        <w:tc>
          <w:tcPr>
            <w:tcW w:w="2400" w:type="dxa"/>
            <w:tcMar>
              <w:top w:w="50" w:type="dxa"/>
              <w:left w:w="100" w:type="dxa"/>
              <w:bottom w:w="50" w:type="dxa"/>
              <w:right w:w="100" w:type="dxa"/>
            </w:tcMar>
            <w:vAlign w:val="center"/>
          </w:tcPr>
          <w:p w14:paraId="7DE7AD53" w14:textId="77777777" w:rsidR="003D7135" w:rsidRPr="00F87B2E" w:rsidRDefault="008C601E">
            <w:pPr>
              <w:rPr>
                <w:rFonts w:ascii="Times New Roman" w:hAnsi="Times New Roman" w:cs="Times New Roman"/>
                <w:sz w:val="24"/>
                <w:szCs w:val="24"/>
              </w:rPr>
            </w:pPr>
            <w:r w:rsidRPr="00F87B2E">
              <w:rPr>
                <w:rFonts w:ascii="Times New Roman" w:hAnsi="Times New Roman" w:cs="Times New Roman"/>
                <w:sz w:val="24"/>
                <w:szCs w:val="24"/>
              </w:rPr>
              <w:t>Random Forest</w:t>
            </w:r>
          </w:p>
        </w:tc>
        <w:tc>
          <w:tcPr>
            <w:tcW w:w="1550" w:type="dxa"/>
            <w:tcMar>
              <w:top w:w="50" w:type="dxa"/>
              <w:left w:w="100" w:type="dxa"/>
              <w:bottom w:w="50" w:type="dxa"/>
              <w:right w:w="100" w:type="dxa"/>
            </w:tcMar>
            <w:vAlign w:val="center"/>
          </w:tcPr>
          <w:p w14:paraId="3BF13713"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2663.0</w:t>
            </w:r>
          </w:p>
        </w:tc>
        <w:tc>
          <w:tcPr>
            <w:tcW w:w="1550" w:type="dxa"/>
            <w:tcMar>
              <w:top w:w="50" w:type="dxa"/>
              <w:left w:w="100" w:type="dxa"/>
              <w:bottom w:w="50" w:type="dxa"/>
              <w:right w:w="100" w:type="dxa"/>
            </w:tcMar>
            <w:vAlign w:val="center"/>
          </w:tcPr>
          <w:p w14:paraId="2FDA995D"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1963.0</w:t>
            </w:r>
          </w:p>
        </w:tc>
        <w:tc>
          <w:tcPr>
            <w:tcW w:w="1450" w:type="dxa"/>
            <w:tcMar>
              <w:top w:w="50" w:type="dxa"/>
              <w:left w:w="100" w:type="dxa"/>
              <w:bottom w:w="50" w:type="dxa"/>
              <w:right w:w="100" w:type="dxa"/>
            </w:tcMar>
            <w:vAlign w:val="center"/>
          </w:tcPr>
          <w:p w14:paraId="703A46DF"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3.77</w:t>
            </w:r>
          </w:p>
        </w:tc>
        <w:tc>
          <w:tcPr>
            <w:tcW w:w="2076" w:type="dxa"/>
            <w:tcMar>
              <w:top w:w="50" w:type="dxa"/>
              <w:left w:w="100" w:type="dxa"/>
              <w:bottom w:w="50" w:type="dxa"/>
              <w:right w:w="100" w:type="dxa"/>
            </w:tcMar>
            <w:vAlign w:val="center"/>
          </w:tcPr>
          <w:p w14:paraId="06BDBACC"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+0.11</w:t>
            </w:r>
          </w:p>
        </w:tc>
      </w:tr>
      <w:tr w:rsidR="00FC4A92" w:rsidRPr="00F87B2E" w14:paraId="58465929" w14:textId="77777777">
        <w:tc>
          <w:tcPr>
            <w:tcW w:w="2400" w:type="dxa"/>
            <w:shd w:val="clear" w:color="auto" w:fill="F2F2F2"/>
            <w:tcMar>
              <w:top w:w="50" w:type="dxa"/>
              <w:left w:w="100" w:type="dxa"/>
              <w:bottom w:w="50" w:type="dxa"/>
              <w:right w:w="100" w:type="dxa"/>
            </w:tcMar>
            <w:vAlign w:val="center"/>
          </w:tcPr>
          <w:p w14:paraId="09A1A453" w14:textId="77777777" w:rsidR="003D7135" w:rsidRPr="00F87B2E" w:rsidRDefault="008C601E">
            <w:pPr>
              <w:rPr>
                <w:rFonts w:ascii="Times New Roman" w:hAnsi="Times New Roman" w:cs="Times New Roman"/>
                <w:sz w:val="24"/>
                <w:szCs w:val="24"/>
              </w:rPr>
            </w:pPr>
            <w:r w:rsidRPr="00F87B2E">
              <w:rPr>
                <w:rFonts w:ascii="Times New Roman" w:hAnsi="Times New Roman" w:cs="Times New Roman"/>
                <w:sz w:val="24"/>
                <w:szCs w:val="24"/>
              </w:rPr>
              <w:t>Gradient Boosting</w:t>
            </w:r>
          </w:p>
        </w:tc>
        <w:tc>
          <w:tcPr>
            <w:tcW w:w="1550" w:type="dxa"/>
            <w:shd w:val="clear" w:color="auto" w:fill="F2F2F2"/>
            <w:tcMar>
              <w:top w:w="50" w:type="dxa"/>
              <w:left w:w="100" w:type="dxa"/>
              <w:bottom w:w="50" w:type="dxa"/>
              <w:right w:w="100" w:type="dxa"/>
            </w:tcMar>
            <w:vAlign w:val="center"/>
          </w:tcPr>
          <w:p w14:paraId="1929A93F"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2680.5</w:t>
            </w:r>
          </w:p>
        </w:tc>
        <w:tc>
          <w:tcPr>
            <w:tcW w:w="1550" w:type="dxa"/>
            <w:shd w:val="clear" w:color="auto" w:fill="F2F2F2"/>
            <w:tcMar>
              <w:top w:w="50" w:type="dxa"/>
              <w:left w:w="100" w:type="dxa"/>
              <w:bottom w:w="50" w:type="dxa"/>
              <w:right w:w="100" w:type="dxa"/>
            </w:tcMar>
            <w:vAlign w:val="center"/>
          </w:tcPr>
          <w:p w14:paraId="6E4E85FD"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2028.3</w:t>
            </w:r>
          </w:p>
        </w:tc>
        <w:tc>
          <w:tcPr>
            <w:tcW w:w="1450" w:type="dxa"/>
            <w:shd w:val="clear" w:color="auto" w:fill="F2F2F2"/>
            <w:tcMar>
              <w:top w:w="50" w:type="dxa"/>
              <w:left w:w="100" w:type="dxa"/>
              <w:bottom w:w="50" w:type="dxa"/>
              <w:right w:w="100" w:type="dxa"/>
            </w:tcMar>
            <w:vAlign w:val="center"/>
          </w:tcPr>
          <w:p w14:paraId="55772C47"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3.87</w:t>
            </w:r>
          </w:p>
        </w:tc>
        <w:tc>
          <w:tcPr>
            <w:tcW w:w="2076" w:type="dxa"/>
            <w:shd w:val="clear" w:color="auto" w:fill="F2F2F2"/>
            <w:tcMar>
              <w:top w:w="50" w:type="dxa"/>
              <w:left w:w="100" w:type="dxa"/>
              <w:bottom w:w="50" w:type="dxa"/>
              <w:right w:w="100" w:type="dxa"/>
            </w:tcMar>
            <w:vAlign w:val="center"/>
          </w:tcPr>
          <w:p w14:paraId="57EA72E3"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+0.11</w:t>
            </w:r>
          </w:p>
        </w:tc>
      </w:tr>
      <w:tr w:rsidR="00FC4A92" w:rsidRPr="00F87B2E" w14:paraId="3978C482" w14:textId="77777777">
        <w:tc>
          <w:tcPr>
            <w:tcW w:w="2400" w:type="dxa"/>
            <w:tcMar>
              <w:top w:w="50" w:type="dxa"/>
              <w:left w:w="100" w:type="dxa"/>
              <w:bottom w:w="50" w:type="dxa"/>
              <w:right w:w="100" w:type="dxa"/>
            </w:tcMar>
            <w:vAlign w:val="center"/>
          </w:tcPr>
          <w:p w14:paraId="1DD76CE9" w14:textId="77777777" w:rsidR="003D7135" w:rsidRPr="00F87B2E" w:rsidRDefault="008C601E">
            <w:pPr>
              <w:rPr>
                <w:rFonts w:ascii="Times New Roman" w:hAnsi="Times New Roman" w:cs="Times New Roman"/>
                <w:sz w:val="24"/>
                <w:szCs w:val="24"/>
              </w:rPr>
            </w:pPr>
            <w:r w:rsidRPr="00F87B2E">
              <w:rPr>
                <w:rFonts w:ascii="Times New Roman" w:hAnsi="Times New Roman" w:cs="Times New Roman"/>
                <w:sz w:val="24"/>
                <w:szCs w:val="24"/>
              </w:rPr>
              <w:t>Seasonal Naive</w:t>
            </w:r>
          </w:p>
        </w:tc>
        <w:tc>
          <w:tcPr>
            <w:tcW w:w="1550" w:type="dxa"/>
            <w:tcMar>
              <w:top w:w="50" w:type="dxa"/>
              <w:left w:w="100" w:type="dxa"/>
              <w:bottom w:w="50" w:type="dxa"/>
              <w:right w:w="100" w:type="dxa"/>
            </w:tcMar>
            <w:vAlign w:val="center"/>
          </w:tcPr>
          <w:p w14:paraId="6C79F983"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3006.8</w:t>
            </w:r>
          </w:p>
        </w:tc>
        <w:tc>
          <w:tcPr>
            <w:tcW w:w="1550" w:type="dxa"/>
            <w:tcMar>
              <w:top w:w="50" w:type="dxa"/>
              <w:left w:w="100" w:type="dxa"/>
              <w:bottom w:w="50" w:type="dxa"/>
              <w:right w:w="100" w:type="dxa"/>
            </w:tcMar>
            <w:vAlign w:val="center"/>
          </w:tcPr>
          <w:p w14:paraId="1E6612C0"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2318.5</w:t>
            </w:r>
          </w:p>
        </w:tc>
        <w:tc>
          <w:tcPr>
            <w:tcW w:w="1450" w:type="dxa"/>
            <w:tcMar>
              <w:top w:w="50" w:type="dxa"/>
              <w:left w:w="100" w:type="dxa"/>
              <w:bottom w:w="50" w:type="dxa"/>
              <w:right w:w="100" w:type="dxa"/>
            </w:tcMar>
            <w:vAlign w:val="center"/>
          </w:tcPr>
          <w:p w14:paraId="4CEA027A"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4.41</w:t>
            </w:r>
          </w:p>
        </w:tc>
        <w:tc>
          <w:tcPr>
            <w:tcW w:w="2076" w:type="dxa"/>
            <w:tcMar>
              <w:top w:w="50" w:type="dxa"/>
              <w:left w:w="100" w:type="dxa"/>
              <w:bottom w:w="50" w:type="dxa"/>
              <w:right w:w="100" w:type="dxa"/>
            </w:tcMar>
            <w:vAlign w:val="center"/>
          </w:tcPr>
          <w:p w14:paraId="486DDB09"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0.00</w:t>
            </w:r>
          </w:p>
        </w:tc>
      </w:tr>
      <w:tr w:rsidR="00FC4A92" w:rsidRPr="00F87B2E" w14:paraId="7178C1EB" w14:textId="77777777">
        <w:tc>
          <w:tcPr>
            <w:tcW w:w="2400" w:type="dxa"/>
            <w:shd w:val="clear" w:color="auto" w:fill="F2F2F2"/>
            <w:tcMar>
              <w:top w:w="50" w:type="dxa"/>
              <w:left w:w="100" w:type="dxa"/>
              <w:bottom w:w="50" w:type="dxa"/>
              <w:right w:w="100" w:type="dxa"/>
            </w:tcMar>
            <w:vAlign w:val="center"/>
          </w:tcPr>
          <w:p w14:paraId="691779B4" w14:textId="77777777" w:rsidR="003D7135" w:rsidRPr="00F87B2E" w:rsidRDefault="008C601E">
            <w:pPr>
              <w:rPr>
                <w:rFonts w:ascii="Times New Roman" w:hAnsi="Times New Roman" w:cs="Times New Roman"/>
                <w:sz w:val="24"/>
                <w:szCs w:val="24"/>
              </w:rPr>
            </w:pPr>
            <w:r w:rsidRPr="00F87B2E">
              <w:rPr>
                <w:rFonts w:ascii="Times New Roman" w:hAnsi="Times New Roman" w:cs="Times New Roman"/>
                <w:sz w:val="24"/>
                <w:szCs w:val="24"/>
              </w:rPr>
              <w:t>SARIMAX + Temperature</w:t>
            </w:r>
          </w:p>
        </w:tc>
        <w:tc>
          <w:tcPr>
            <w:tcW w:w="1550" w:type="dxa"/>
            <w:shd w:val="clear" w:color="auto" w:fill="F2F2F2"/>
            <w:tcMar>
              <w:top w:w="50" w:type="dxa"/>
              <w:left w:w="100" w:type="dxa"/>
              <w:bottom w:w="50" w:type="dxa"/>
              <w:right w:w="100" w:type="dxa"/>
            </w:tcMar>
            <w:vAlign w:val="center"/>
          </w:tcPr>
          <w:p w14:paraId="44A4DD5C"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3223.1</w:t>
            </w:r>
          </w:p>
        </w:tc>
        <w:tc>
          <w:tcPr>
            <w:tcW w:w="1550" w:type="dxa"/>
            <w:shd w:val="clear" w:color="auto" w:fill="F2F2F2"/>
            <w:tcMar>
              <w:top w:w="50" w:type="dxa"/>
              <w:left w:w="100" w:type="dxa"/>
              <w:bottom w:w="50" w:type="dxa"/>
              <w:right w:w="100" w:type="dxa"/>
            </w:tcMar>
            <w:vAlign w:val="center"/>
          </w:tcPr>
          <w:p w14:paraId="03CCECA4"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2476.4</w:t>
            </w:r>
          </w:p>
        </w:tc>
        <w:tc>
          <w:tcPr>
            <w:tcW w:w="1450" w:type="dxa"/>
            <w:shd w:val="clear" w:color="auto" w:fill="F2F2F2"/>
            <w:tcMar>
              <w:top w:w="50" w:type="dxa"/>
              <w:left w:w="100" w:type="dxa"/>
              <w:bottom w:w="50" w:type="dxa"/>
              <w:right w:w="100" w:type="dxa"/>
            </w:tcMar>
            <w:vAlign w:val="center"/>
          </w:tcPr>
          <w:p w14:paraId="679EF75D"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4.69</w:t>
            </w:r>
          </w:p>
        </w:tc>
        <w:tc>
          <w:tcPr>
            <w:tcW w:w="2076" w:type="dxa"/>
            <w:shd w:val="clear" w:color="auto" w:fill="F2F2F2"/>
            <w:tcMar>
              <w:top w:w="50" w:type="dxa"/>
              <w:left w:w="100" w:type="dxa"/>
              <w:bottom w:w="50" w:type="dxa"/>
              <w:right w:w="100" w:type="dxa"/>
            </w:tcMar>
            <w:vAlign w:val="center"/>
          </w:tcPr>
          <w:p w14:paraId="588495EE"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-0.07</w:t>
            </w:r>
          </w:p>
        </w:tc>
      </w:tr>
      <w:tr w:rsidR="00FC4A92" w:rsidRPr="00F87B2E" w14:paraId="2CE177C5" w14:textId="77777777">
        <w:tc>
          <w:tcPr>
            <w:tcW w:w="2400" w:type="dxa"/>
            <w:tcMar>
              <w:top w:w="50" w:type="dxa"/>
              <w:left w:w="100" w:type="dxa"/>
              <w:bottom w:w="50" w:type="dxa"/>
              <w:right w:w="100" w:type="dxa"/>
            </w:tcMar>
            <w:vAlign w:val="center"/>
          </w:tcPr>
          <w:p w14:paraId="40B45B3E" w14:textId="77777777" w:rsidR="003D7135" w:rsidRPr="00F87B2E" w:rsidRDefault="008C601E">
            <w:pPr>
              <w:rPr>
                <w:rFonts w:ascii="Times New Roman" w:hAnsi="Times New Roman" w:cs="Times New Roman"/>
                <w:sz w:val="24"/>
                <w:szCs w:val="24"/>
              </w:rPr>
            </w:pPr>
            <w:r w:rsidRPr="00F87B2E">
              <w:rPr>
                <w:rFonts w:ascii="Times New Roman" w:hAnsi="Times New Roman" w:cs="Times New Roman"/>
                <w:sz w:val="24"/>
                <w:szCs w:val="24"/>
              </w:rPr>
              <w:t>Mean</w:t>
            </w:r>
          </w:p>
        </w:tc>
        <w:tc>
          <w:tcPr>
            <w:tcW w:w="1550" w:type="dxa"/>
            <w:tcMar>
              <w:top w:w="50" w:type="dxa"/>
              <w:left w:w="100" w:type="dxa"/>
              <w:bottom w:w="50" w:type="dxa"/>
              <w:right w:w="100" w:type="dxa"/>
            </w:tcMar>
            <w:vAlign w:val="center"/>
          </w:tcPr>
          <w:p w14:paraId="621D3190"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4397.3</w:t>
            </w:r>
          </w:p>
        </w:tc>
        <w:tc>
          <w:tcPr>
            <w:tcW w:w="1550" w:type="dxa"/>
            <w:tcMar>
              <w:top w:w="50" w:type="dxa"/>
              <w:left w:w="100" w:type="dxa"/>
              <w:bottom w:w="50" w:type="dxa"/>
              <w:right w:w="100" w:type="dxa"/>
            </w:tcMar>
            <w:vAlign w:val="center"/>
          </w:tcPr>
          <w:p w14:paraId="15034B90"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3788.8</w:t>
            </w:r>
          </w:p>
        </w:tc>
        <w:tc>
          <w:tcPr>
            <w:tcW w:w="1450" w:type="dxa"/>
            <w:tcMar>
              <w:top w:w="50" w:type="dxa"/>
              <w:left w:w="100" w:type="dxa"/>
              <w:bottom w:w="50" w:type="dxa"/>
              <w:right w:w="100" w:type="dxa"/>
            </w:tcMar>
            <w:vAlign w:val="center"/>
          </w:tcPr>
          <w:p w14:paraId="3A769C85"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6.97</w:t>
            </w:r>
          </w:p>
        </w:tc>
        <w:tc>
          <w:tcPr>
            <w:tcW w:w="2076" w:type="dxa"/>
            <w:tcMar>
              <w:top w:w="50" w:type="dxa"/>
              <w:left w:w="100" w:type="dxa"/>
              <w:bottom w:w="50" w:type="dxa"/>
              <w:right w:w="100" w:type="dxa"/>
            </w:tcMar>
            <w:vAlign w:val="center"/>
          </w:tcPr>
          <w:p w14:paraId="735F5F8C"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-0.46</w:t>
            </w:r>
          </w:p>
        </w:tc>
      </w:tr>
      <w:tr w:rsidR="00FC4A92" w:rsidRPr="00F87B2E" w14:paraId="682C8DBD" w14:textId="77777777">
        <w:tc>
          <w:tcPr>
            <w:tcW w:w="2400" w:type="dxa"/>
            <w:shd w:val="clear" w:color="auto" w:fill="F2F2F2"/>
            <w:tcMar>
              <w:top w:w="50" w:type="dxa"/>
              <w:left w:w="100" w:type="dxa"/>
              <w:bottom w:w="50" w:type="dxa"/>
              <w:right w:w="100" w:type="dxa"/>
            </w:tcMar>
            <w:vAlign w:val="center"/>
          </w:tcPr>
          <w:p w14:paraId="60BC886C" w14:textId="77777777" w:rsidR="003D7135" w:rsidRPr="00F87B2E" w:rsidRDefault="008C601E">
            <w:pPr>
              <w:rPr>
                <w:rFonts w:ascii="Times New Roman" w:hAnsi="Times New Roman" w:cs="Times New Roman"/>
                <w:sz w:val="24"/>
                <w:szCs w:val="24"/>
              </w:rPr>
            </w:pPr>
            <w:r w:rsidRPr="00F87B2E">
              <w:rPr>
                <w:rFonts w:ascii="Times New Roman" w:hAnsi="Times New Roman" w:cs="Times New Roman"/>
                <w:sz w:val="24"/>
                <w:szCs w:val="24"/>
              </w:rPr>
              <w:lastRenderedPageBreak/>
              <w:t>Naive</w:t>
            </w:r>
          </w:p>
        </w:tc>
        <w:tc>
          <w:tcPr>
            <w:tcW w:w="1550" w:type="dxa"/>
            <w:shd w:val="clear" w:color="auto" w:fill="F2F2F2"/>
            <w:tcMar>
              <w:top w:w="50" w:type="dxa"/>
              <w:left w:w="100" w:type="dxa"/>
              <w:bottom w:w="50" w:type="dxa"/>
              <w:right w:w="100" w:type="dxa"/>
            </w:tcMar>
            <w:vAlign w:val="center"/>
          </w:tcPr>
          <w:p w14:paraId="3BCA787E"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4459.1</w:t>
            </w:r>
          </w:p>
        </w:tc>
        <w:tc>
          <w:tcPr>
            <w:tcW w:w="1550" w:type="dxa"/>
            <w:shd w:val="clear" w:color="auto" w:fill="F2F2F2"/>
            <w:tcMar>
              <w:top w:w="50" w:type="dxa"/>
              <w:left w:w="100" w:type="dxa"/>
              <w:bottom w:w="50" w:type="dxa"/>
              <w:right w:w="100" w:type="dxa"/>
            </w:tcMar>
            <w:vAlign w:val="center"/>
          </w:tcPr>
          <w:p w14:paraId="617D4AC5"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3783.2</w:t>
            </w:r>
          </w:p>
        </w:tc>
        <w:tc>
          <w:tcPr>
            <w:tcW w:w="1450" w:type="dxa"/>
            <w:shd w:val="clear" w:color="auto" w:fill="F2F2F2"/>
            <w:tcMar>
              <w:top w:w="50" w:type="dxa"/>
              <w:left w:w="100" w:type="dxa"/>
              <w:bottom w:w="50" w:type="dxa"/>
              <w:right w:w="100" w:type="dxa"/>
            </w:tcMar>
            <w:vAlign w:val="center"/>
          </w:tcPr>
          <w:p w14:paraId="1EAA4EF8"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6.79</w:t>
            </w:r>
          </w:p>
        </w:tc>
        <w:tc>
          <w:tcPr>
            <w:tcW w:w="2076" w:type="dxa"/>
            <w:shd w:val="clear" w:color="auto" w:fill="F2F2F2"/>
            <w:tcMar>
              <w:top w:w="50" w:type="dxa"/>
              <w:left w:w="100" w:type="dxa"/>
              <w:bottom w:w="50" w:type="dxa"/>
              <w:right w:w="100" w:type="dxa"/>
            </w:tcMar>
            <w:vAlign w:val="center"/>
          </w:tcPr>
          <w:p w14:paraId="06A44D0D"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-0.48</w:t>
            </w:r>
          </w:p>
        </w:tc>
      </w:tr>
      <w:tr w:rsidR="00FC4A92" w:rsidRPr="00F87B2E" w14:paraId="5B6A8A20" w14:textId="77777777">
        <w:tc>
          <w:tcPr>
            <w:tcW w:w="2400" w:type="dxa"/>
            <w:tcMar>
              <w:top w:w="50" w:type="dxa"/>
              <w:left w:w="100" w:type="dxa"/>
              <w:bottom w:w="50" w:type="dxa"/>
              <w:right w:w="100" w:type="dxa"/>
            </w:tcMar>
            <w:vAlign w:val="center"/>
          </w:tcPr>
          <w:p w14:paraId="10467756" w14:textId="77777777" w:rsidR="003D7135" w:rsidRPr="00F87B2E" w:rsidRDefault="008C601E">
            <w:pPr>
              <w:rPr>
                <w:rFonts w:ascii="Times New Roman" w:hAnsi="Times New Roman" w:cs="Times New Roman"/>
                <w:sz w:val="24"/>
                <w:szCs w:val="24"/>
              </w:rPr>
            </w:pPr>
            <w:r w:rsidRPr="00F87B2E">
              <w:rPr>
                <w:rFonts w:ascii="Times New Roman" w:hAnsi="Times New Roman" w:cs="Times New Roman"/>
                <w:sz w:val="24"/>
                <w:szCs w:val="24"/>
              </w:rPr>
              <w:t>Drift</w:t>
            </w:r>
          </w:p>
        </w:tc>
        <w:tc>
          <w:tcPr>
            <w:tcW w:w="1550" w:type="dxa"/>
            <w:tcMar>
              <w:top w:w="50" w:type="dxa"/>
              <w:left w:w="100" w:type="dxa"/>
              <w:bottom w:w="50" w:type="dxa"/>
              <w:right w:w="100" w:type="dxa"/>
            </w:tcMar>
            <w:vAlign w:val="center"/>
          </w:tcPr>
          <w:p w14:paraId="7A5CD264"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5118.0</w:t>
            </w:r>
          </w:p>
        </w:tc>
        <w:tc>
          <w:tcPr>
            <w:tcW w:w="1550" w:type="dxa"/>
            <w:tcMar>
              <w:top w:w="50" w:type="dxa"/>
              <w:left w:w="100" w:type="dxa"/>
              <w:bottom w:w="50" w:type="dxa"/>
              <w:right w:w="100" w:type="dxa"/>
            </w:tcMar>
            <w:vAlign w:val="center"/>
          </w:tcPr>
          <w:p w14:paraId="5600305A"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4339.9</w:t>
            </w:r>
          </w:p>
        </w:tc>
        <w:tc>
          <w:tcPr>
            <w:tcW w:w="1450" w:type="dxa"/>
            <w:tcMar>
              <w:top w:w="50" w:type="dxa"/>
              <w:left w:w="100" w:type="dxa"/>
              <w:bottom w:w="50" w:type="dxa"/>
              <w:right w:w="100" w:type="dxa"/>
            </w:tcMar>
            <w:vAlign w:val="center"/>
          </w:tcPr>
          <w:p w14:paraId="604BC76F"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8.05</w:t>
            </w:r>
          </w:p>
        </w:tc>
        <w:tc>
          <w:tcPr>
            <w:tcW w:w="2076" w:type="dxa"/>
            <w:tcMar>
              <w:top w:w="50" w:type="dxa"/>
              <w:left w:w="100" w:type="dxa"/>
              <w:bottom w:w="50" w:type="dxa"/>
              <w:right w:w="100" w:type="dxa"/>
            </w:tcMar>
            <w:vAlign w:val="center"/>
          </w:tcPr>
          <w:p w14:paraId="562EC5E3"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-0.70</w:t>
            </w:r>
          </w:p>
        </w:tc>
      </w:tr>
      <w:tr w:rsidR="00FC4A92" w:rsidRPr="00F87B2E" w14:paraId="0ABED1F1" w14:textId="77777777">
        <w:tc>
          <w:tcPr>
            <w:tcW w:w="2400" w:type="dxa"/>
            <w:shd w:val="clear" w:color="auto" w:fill="F2F2F2"/>
            <w:tcMar>
              <w:top w:w="50" w:type="dxa"/>
              <w:left w:w="100" w:type="dxa"/>
              <w:bottom w:w="50" w:type="dxa"/>
              <w:right w:w="100" w:type="dxa"/>
            </w:tcMar>
            <w:vAlign w:val="center"/>
          </w:tcPr>
          <w:p w14:paraId="2141E6B6" w14:textId="77777777" w:rsidR="003D7135" w:rsidRPr="00F87B2E" w:rsidRDefault="008C601E">
            <w:pPr>
              <w:rPr>
                <w:rFonts w:ascii="Times New Roman" w:hAnsi="Times New Roman" w:cs="Times New Roman"/>
                <w:sz w:val="24"/>
                <w:szCs w:val="24"/>
              </w:rPr>
            </w:pPr>
            <w:r w:rsidRPr="00F87B2E">
              <w:rPr>
                <w:rFonts w:ascii="Times New Roman" w:hAnsi="Times New Roman" w:cs="Times New Roman"/>
                <w:sz w:val="24"/>
                <w:szCs w:val="24"/>
              </w:rPr>
              <w:t>SARIMA</w:t>
            </w:r>
          </w:p>
        </w:tc>
        <w:tc>
          <w:tcPr>
            <w:tcW w:w="1550" w:type="dxa"/>
            <w:shd w:val="clear" w:color="auto" w:fill="F2F2F2"/>
            <w:tcMar>
              <w:top w:w="50" w:type="dxa"/>
              <w:left w:w="100" w:type="dxa"/>
              <w:bottom w:w="50" w:type="dxa"/>
              <w:right w:w="100" w:type="dxa"/>
            </w:tcMar>
            <w:vAlign w:val="center"/>
          </w:tcPr>
          <w:p w14:paraId="783C9BF8"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5585.0</w:t>
            </w:r>
          </w:p>
        </w:tc>
        <w:tc>
          <w:tcPr>
            <w:tcW w:w="1550" w:type="dxa"/>
            <w:shd w:val="clear" w:color="auto" w:fill="F2F2F2"/>
            <w:tcMar>
              <w:top w:w="50" w:type="dxa"/>
              <w:left w:w="100" w:type="dxa"/>
              <w:bottom w:w="50" w:type="dxa"/>
              <w:right w:w="100" w:type="dxa"/>
            </w:tcMar>
            <w:vAlign w:val="center"/>
          </w:tcPr>
          <w:p w14:paraId="483880B7"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4373.2</w:t>
            </w:r>
          </w:p>
        </w:tc>
        <w:tc>
          <w:tcPr>
            <w:tcW w:w="1450" w:type="dxa"/>
            <w:shd w:val="clear" w:color="auto" w:fill="F2F2F2"/>
            <w:tcMar>
              <w:top w:w="50" w:type="dxa"/>
              <w:left w:w="100" w:type="dxa"/>
              <w:bottom w:w="50" w:type="dxa"/>
              <w:right w:w="100" w:type="dxa"/>
            </w:tcMar>
            <w:vAlign w:val="center"/>
          </w:tcPr>
          <w:p w14:paraId="3AAEBDA1"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8.40</w:t>
            </w:r>
          </w:p>
        </w:tc>
        <w:tc>
          <w:tcPr>
            <w:tcW w:w="2076" w:type="dxa"/>
            <w:shd w:val="clear" w:color="auto" w:fill="F2F2F2"/>
            <w:tcMar>
              <w:top w:w="50" w:type="dxa"/>
              <w:left w:w="100" w:type="dxa"/>
              <w:bottom w:w="50" w:type="dxa"/>
              <w:right w:w="100" w:type="dxa"/>
            </w:tcMar>
            <w:vAlign w:val="center"/>
          </w:tcPr>
          <w:p w14:paraId="5CAD9876" w14:textId="77777777" w:rsidR="003D7135" w:rsidRPr="00F87B2E" w:rsidRDefault="008C601E">
            <w:pPr>
              <w:jc w:val="center"/>
              <w:rPr>
                <w:rFonts w:ascii="Times New Roman" w:hAnsi="Times New Roman" w:cs="Times New Roman"/>
                <w:sz w:val="24"/>
                <w:szCs w:val="24"/>
              </w:rPr>
            </w:pPr>
            <w:r w:rsidRPr="00F87B2E">
              <w:rPr>
                <w:rFonts w:ascii="Times New Roman" w:hAnsi="Times New Roman" w:cs="Times New Roman"/>
                <w:sz w:val="24"/>
                <w:szCs w:val="24"/>
              </w:rPr>
              <w:t>-0.86</w:t>
            </w:r>
          </w:p>
        </w:tc>
      </w:tr>
    </w:tbl>
    <w:p w14:paraId="5588D3AE" w14:textId="77777777" w:rsidR="003D7135" w:rsidRPr="00F87B2E" w:rsidRDefault="008C601E">
      <w:pPr>
        <w:spacing w:before="80" w:after="200"/>
        <w:rPr>
          <w:rFonts w:ascii="Times New Roman" w:hAnsi="Times New Roman" w:cs="Times New Roman"/>
          <w:sz w:val="24"/>
          <w:szCs w:val="24"/>
        </w:rPr>
      </w:pPr>
      <w:r w:rsidRPr="00F87B2E">
        <w:rPr>
          <w:rFonts w:ascii="Times New Roman" w:hAnsi="Times New Roman" w:cs="Times New Roman"/>
          <w:b/>
          <w:bCs/>
          <w:sz w:val="24"/>
          <w:szCs w:val="24"/>
        </w:rPr>
        <w:t>Table 1. Forecast accuracy of all ten models on the 104-week test period, ranked by RMSE.</w:t>
      </w:r>
    </w:p>
    <w:p w14:paraId="7D2D9ED6" w14:textId="77777777" w:rsidR="003D7135" w:rsidRPr="00F87B2E" w:rsidRDefault="008C601E">
      <w:pPr>
        <w:spacing w:before="200" w:after="80"/>
        <w:jc w:val="center"/>
        <w:rPr>
          <w:rFonts w:ascii="Times New Roman" w:hAnsi="Times New Roman" w:cs="Times New Roman"/>
          <w:sz w:val="24"/>
          <w:szCs w:val="24"/>
        </w:rPr>
      </w:pPr>
      <w:r w:rsidRPr="00F87B2E">
        <w:rPr>
          <w:rFonts w:ascii="Times New Roman" w:hAnsi="Times New Roman" w:cs="Times New Roman"/>
          <w:noProof/>
          <w:sz w:val="24"/>
          <w:szCs w:val="24"/>
        </w:rPr>
        <w:drawing>
          <wp:inline distT="0" distB="0" distL="0" distR="0" wp14:anchorId="11B93391" wp14:editId="08FBEC2A">
            <wp:extent cx="5486400" cy="2085975"/>
            <wp:effectExtent l="0" t="0" r="0" b="0"/>
            <wp:docPr id="433291670" name="Picture 43329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2085975"/>
                    </a:xfrm>
                    <a:prstGeom prst="rect">
                      <a:avLst/>
                    </a:prstGeom>
                  </pic:spPr>
                </pic:pic>
              </a:graphicData>
            </a:graphic>
          </wp:inline>
        </w:drawing>
      </w:r>
    </w:p>
    <w:p w14:paraId="5A3375C5" w14:textId="77777777" w:rsidR="003D7135" w:rsidRPr="00F87B2E" w:rsidRDefault="008C601E">
      <w:pPr>
        <w:spacing w:after="240"/>
        <w:jc w:val="center"/>
        <w:rPr>
          <w:rFonts w:ascii="Times New Roman" w:hAnsi="Times New Roman" w:cs="Times New Roman"/>
          <w:sz w:val="24"/>
          <w:szCs w:val="24"/>
        </w:rPr>
      </w:pPr>
      <w:r w:rsidRPr="00F87B2E">
        <w:rPr>
          <w:rFonts w:ascii="Times New Roman" w:hAnsi="Times New Roman" w:cs="Times New Roman"/>
          <w:b/>
          <w:bCs/>
          <w:sz w:val="24"/>
          <w:szCs w:val="24"/>
        </w:rPr>
        <w:t>Figure 9. RMSE comparison across all ten forecasting models.</w:t>
      </w:r>
    </w:p>
    <w:p w14:paraId="0339F47E" w14:textId="77777777" w:rsidR="003D7135" w:rsidRPr="00F87B2E" w:rsidRDefault="008C601E">
      <w:pPr>
        <w:spacing w:before="200" w:after="80"/>
        <w:jc w:val="center"/>
        <w:rPr>
          <w:rFonts w:ascii="Times New Roman" w:hAnsi="Times New Roman" w:cs="Times New Roman"/>
          <w:sz w:val="24"/>
          <w:szCs w:val="24"/>
        </w:rPr>
      </w:pPr>
      <w:r w:rsidRPr="00F87B2E">
        <w:rPr>
          <w:rFonts w:ascii="Times New Roman" w:hAnsi="Times New Roman" w:cs="Times New Roman"/>
          <w:noProof/>
          <w:sz w:val="24"/>
          <w:szCs w:val="24"/>
        </w:rPr>
        <w:drawing>
          <wp:inline distT="0" distB="0" distL="0" distR="0" wp14:anchorId="439FBA5C" wp14:editId="61BD309D">
            <wp:extent cx="5486400" cy="2238375"/>
            <wp:effectExtent l="0" t="0" r="0" b="0"/>
            <wp:docPr id="13324629" name="Picture 13324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2238375"/>
                    </a:xfrm>
                    <a:prstGeom prst="rect">
                      <a:avLst/>
                    </a:prstGeom>
                  </pic:spPr>
                </pic:pic>
              </a:graphicData>
            </a:graphic>
          </wp:inline>
        </w:drawing>
      </w:r>
    </w:p>
    <w:p w14:paraId="616524CB" w14:textId="77777777" w:rsidR="003D7135" w:rsidRPr="00F87B2E" w:rsidRDefault="008C601E">
      <w:pPr>
        <w:spacing w:after="240"/>
        <w:jc w:val="center"/>
        <w:rPr>
          <w:rFonts w:ascii="Times New Roman" w:hAnsi="Times New Roman" w:cs="Times New Roman"/>
          <w:sz w:val="24"/>
          <w:szCs w:val="24"/>
        </w:rPr>
      </w:pPr>
      <w:r w:rsidRPr="00F87B2E">
        <w:rPr>
          <w:rFonts w:ascii="Times New Roman" w:hAnsi="Times New Roman" w:cs="Times New Roman"/>
          <w:b/>
          <w:bCs/>
          <w:sz w:val="24"/>
          <w:szCs w:val="24"/>
        </w:rPr>
        <w:t>Figure 10. All model forecasts plotted together against the actual demand observed in the test period.</w:t>
      </w:r>
    </w:p>
    <w:p w14:paraId="0041613C"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Table 1 and Figure 10 divide the ten models into three tiers. The two neural networks lead by a wide margin, though as discussed in Section 6 this is partly inflated by weekly aggregation of hourly forecasts. Random Forest, Gradient Boosting and Seasonal Naive form a tight middle cluster around 2,600–3,000 MW RMSE. Every remaining statistical/naive model, including both SARIMA and SARIMAX, falls below the parameter-free Seasonal Naive benchmark. This is not a failure of estimation; it reflects a genuine pro</w:t>
      </w:r>
      <w:r w:rsidRPr="00F87B2E">
        <w:rPr>
          <w:rFonts w:ascii="Times New Roman" w:hAnsi="Times New Roman" w:cs="Times New Roman"/>
          <w:sz w:val="24"/>
          <w:szCs w:val="24"/>
        </w:rPr>
        <w:t>perty of this dataset: German demand is dominated by such a strong, repeatable annual cycle that a model must capture meaningfully more than seasonality alone — via rich lag/calendar features or direct sequence learning from raw hourly data — to add real value over simply repeating last year’s value.</w:t>
      </w:r>
    </w:p>
    <w:p w14:paraId="673BEAF9"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 xml:space="preserve">Comparing every forecast directly to the actual data subsequently observed (Figures 3-5, 7-8) shows a consistent pattern: models relying only on a fixed historical structure (SARIMA, SARIMAX, the naive benchmarks) diverge most sharply from the real data precisely during the COVID-19 trough, since none had any mechanism to anticipate an event outside their training </w:t>
      </w:r>
      <w:r w:rsidRPr="00F87B2E">
        <w:rPr>
          <w:rFonts w:ascii="Times New Roman" w:hAnsi="Times New Roman" w:cs="Times New Roman"/>
          <w:sz w:val="24"/>
          <w:szCs w:val="24"/>
        </w:rPr>
        <w:lastRenderedPageBreak/>
        <w:t>history, while models with direct access to recent actual observations through lag features (Random Forest, Gradient Boosting) or through sequence learning (the LSTMs) track the real, unprecedented drop and recovery far more closely. This is the central empirical finding of the report: for this series, recency of information matters more than model sophistication per se — a simple model with the right recent inputs outperforms a sophisticated model without them.</w:t>
      </w:r>
    </w:p>
    <w:p w14:paraId="00B24ACC" w14:textId="77777777" w:rsidR="003D7135" w:rsidRPr="00F87B2E"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 xml:space="preserve">Weighing accuracy against interpretability, computational cost and maintenance together, Random Forest is judged the best candidate for operational deployment: it beats Seasonal Naive by 11% without requiring hourly data, GPU infrastructure, or the aggregation step that partly explains the LSTM’s lower reported error, its feature importances are transparent and physically sensible, and it retrains in minutes on standard hardware. The Stacked LSTM remains attractive where the lower error is genuinely needed </w:t>
      </w:r>
      <w:r w:rsidRPr="00F87B2E">
        <w:rPr>
          <w:rFonts w:ascii="Times New Roman" w:hAnsi="Times New Roman" w:cs="Times New Roman"/>
          <w:sz w:val="24"/>
          <w:szCs w:val="24"/>
        </w:rPr>
        <w:t>and the operational overhead of maintaining a deep-learning pipeline is acceptable.</w:t>
      </w:r>
    </w:p>
    <w:p w14:paraId="52EC2B08" w14:textId="77777777" w:rsidR="003D7135" w:rsidRPr="00F87B2E" w:rsidRDefault="008C601E">
      <w:pPr>
        <w:pStyle w:val="Heading1"/>
        <w:spacing w:before="360" w:after="200"/>
        <w:rPr>
          <w:rFonts w:ascii="Times New Roman" w:hAnsi="Times New Roman" w:cs="Times New Roman"/>
          <w:color w:val="auto"/>
          <w:sz w:val="24"/>
          <w:szCs w:val="24"/>
        </w:rPr>
      </w:pPr>
      <w:r w:rsidRPr="00F87B2E">
        <w:rPr>
          <w:rFonts w:ascii="Times New Roman" w:hAnsi="Times New Roman" w:cs="Times New Roman"/>
          <w:color w:val="auto"/>
          <w:sz w:val="24"/>
          <w:szCs w:val="24"/>
        </w:rPr>
        <w:t>8. Future Improvements</w:t>
      </w:r>
    </w:p>
    <w:p w14:paraId="493BB137" w14:textId="77777777" w:rsidR="003D7135" w:rsidRDefault="008C601E">
      <w:pPr>
        <w:spacing w:after="160"/>
        <w:jc w:val="both"/>
        <w:rPr>
          <w:rFonts w:ascii="Times New Roman" w:hAnsi="Times New Roman" w:cs="Times New Roman"/>
          <w:sz w:val="24"/>
          <w:szCs w:val="24"/>
        </w:rPr>
      </w:pPr>
      <w:r w:rsidRPr="00F87B2E">
        <w:rPr>
          <w:rFonts w:ascii="Times New Roman" w:hAnsi="Times New Roman" w:cs="Times New Roman"/>
          <w:sz w:val="24"/>
          <w:szCs w:val="24"/>
        </w:rPr>
        <w:t>Public and school holiday indicators were not included despite being known in advance and plausibly affecting demand; adding them is a natural low-cost extension. A single fixed train/test split was used throughout; a rolling-origin evaluation, retraining periodically as new data arrives, would give a more realistic picture of sustained operational accuracy (</w:t>
      </w:r>
      <w:proofErr w:type="spellStart"/>
      <w:r w:rsidRPr="00F87B2E">
        <w:rPr>
          <w:rFonts w:ascii="Times New Roman" w:hAnsi="Times New Roman" w:cs="Times New Roman"/>
          <w:sz w:val="24"/>
          <w:szCs w:val="24"/>
        </w:rPr>
        <w:t>Hewamalage</w:t>
      </w:r>
      <w:proofErr w:type="spellEnd"/>
      <w:r w:rsidRPr="00F87B2E">
        <w:rPr>
          <w:rFonts w:ascii="Times New Roman" w:hAnsi="Times New Roman" w:cs="Times New Roman"/>
          <w:sz w:val="24"/>
          <w:szCs w:val="24"/>
        </w:rPr>
        <w:t xml:space="preserve">, </w:t>
      </w:r>
      <w:proofErr w:type="spellStart"/>
      <w:r w:rsidRPr="00F87B2E">
        <w:rPr>
          <w:rFonts w:ascii="Times New Roman" w:hAnsi="Times New Roman" w:cs="Times New Roman"/>
          <w:sz w:val="24"/>
          <w:szCs w:val="24"/>
        </w:rPr>
        <w:t>Bergmeir</w:t>
      </w:r>
      <w:proofErr w:type="spellEnd"/>
      <w:r w:rsidRPr="00F87B2E">
        <w:rPr>
          <w:rFonts w:ascii="Times New Roman" w:hAnsi="Times New Roman" w:cs="Times New Roman"/>
          <w:sz w:val="24"/>
          <w:szCs w:val="24"/>
        </w:rPr>
        <w:t xml:space="preserve"> and Bandara, 2021). None of the tree-based or neural models here produce calibrated prediction intervals; conformal prediction or quantile regression could add this alongside SARIMA/SARIMAX’s existing parametric intervals. Renewable generation and broader economic indicators could be added as further covariates, and hybrid approaches combining a statistical seasonal component with a learned residual correction, or transformer-based sequence models, represent a promising direction for ca</w:t>
      </w:r>
      <w:r w:rsidRPr="00F87B2E">
        <w:rPr>
          <w:rFonts w:ascii="Times New Roman" w:hAnsi="Times New Roman" w:cs="Times New Roman"/>
          <w:sz w:val="24"/>
          <w:szCs w:val="24"/>
        </w:rPr>
        <w:t>pturing both the interpretability of the classical approach and the accuracy of the learned approaches evaluated here (</w:t>
      </w:r>
      <w:proofErr w:type="spellStart"/>
      <w:r w:rsidRPr="00F87B2E">
        <w:rPr>
          <w:rFonts w:ascii="Times New Roman" w:hAnsi="Times New Roman" w:cs="Times New Roman"/>
          <w:sz w:val="24"/>
          <w:szCs w:val="24"/>
        </w:rPr>
        <w:t>Makridakis</w:t>
      </w:r>
      <w:proofErr w:type="spellEnd"/>
      <w:r w:rsidRPr="00F87B2E">
        <w:rPr>
          <w:rFonts w:ascii="Times New Roman" w:hAnsi="Times New Roman" w:cs="Times New Roman"/>
          <w:sz w:val="24"/>
          <w:szCs w:val="24"/>
        </w:rPr>
        <w:t xml:space="preserve">, Spiliotis and </w:t>
      </w:r>
      <w:proofErr w:type="spellStart"/>
      <w:r w:rsidRPr="00F87B2E">
        <w:rPr>
          <w:rFonts w:ascii="Times New Roman" w:hAnsi="Times New Roman" w:cs="Times New Roman"/>
          <w:sz w:val="24"/>
          <w:szCs w:val="24"/>
        </w:rPr>
        <w:t>Assimakopoulos</w:t>
      </w:r>
      <w:proofErr w:type="spellEnd"/>
      <w:r w:rsidRPr="00F87B2E">
        <w:rPr>
          <w:rFonts w:ascii="Times New Roman" w:hAnsi="Times New Roman" w:cs="Times New Roman"/>
          <w:sz w:val="24"/>
          <w:szCs w:val="24"/>
        </w:rPr>
        <w:t>, 2018).</w:t>
      </w:r>
    </w:p>
    <w:p w14:paraId="41C6A7E0" w14:textId="77777777" w:rsidR="00FD7075" w:rsidRPr="00FD7075" w:rsidRDefault="00FD7075" w:rsidP="00FD7075">
      <w:pPr>
        <w:spacing w:after="160"/>
        <w:jc w:val="both"/>
        <w:rPr>
          <w:rFonts w:ascii="Times New Roman" w:hAnsi="Times New Roman" w:cs="Times New Roman"/>
          <w:b/>
          <w:bCs/>
          <w:sz w:val="28"/>
          <w:szCs w:val="28"/>
        </w:rPr>
      </w:pPr>
      <w:r w:rsidRPr="00FD7075">
        <w:rPr>
          <w:rFonts w:ascii="Times New Roman" w:hAnsi="Times New Roman" w:cs="Times New Roman"/>
          <w:b/>
          <w:bCs/>
          <w:sz w:val="28"/>
          <w:szCs w:val="28"/>
        </w:rPr>
        <w:t>9. Analysis Questions</w:t>
      </w:r>
    </w:p>
    <w:p w14:paraId="7D2302E1" w14:textId="77777777" w:rsidR="00FD7075" w:rsidRPr="00FD7075" w:rsidRDefault="00FD7075" w:rsidP="00FD7075">
      <w:pPr>
        <w:spacing w:after="160"/>
        <w:jc w:val="both"/>
        <w:rPr>
          <w:rFonts w:ascii="Times New Roman" w:hAnsi="Times New Roman" w:cs="Times New Roman"/>
          <w:b/>
          <w:bCs/>
          <w:sz w:val="24"/>
          <w:szCs w:val="24"/>
        </w:rPr>
      </w:pPr>
      <w:r w:rsidRPr="00FD7075">
        <w:rPr>
          <w:rFonts w:ascii="Times New Roman" w:hAnsi="Times New Roman" w:cs="Times New Roman"/>
          <w:b/>
          <w:bCs/>
          <w:sz w:val="24"/>
          <w:szCs w:val="24"/>
        </w:rPr>
        <w:t>9.1 Which models provide a meaningful improvement over the Seasonal Naive benchmark?</w:t>
      </w:r>
    </w:p>
    <w:p w14:paraId="0301C871" w14:textId="796B284D" w:rsidR="00FD7075" w:rsidRPr="00FD7075" w:rsidRDefault="00FD7075" w:rsidP="00FD7075">
      <w:pPr>
        <w:spacing w:after="160"/>
        <w:jc w:val="both"/>
        <w:rPr>
          <w:rFonts w:ascii="Times New Roman" w:hAnsi="Times New Roman" w:cs="Times New Roman"/>
          <w:sz w:val="24"/>
          <w:szCs w:val="24"/>
        </w:rPr>
      </w:pPr>
      <w:r w:rsidRPr="00FD7075">
        <w:rPr>
          <w:rFonts w:ascii="Times New Roman" w:hAnsi="Times New Roman" w:cs="Times New Roman"/>
          <w:sz w:val="24"/>
          <w:szCs w:val="24"/>
        </w:rPr>
        <w:t xml:space="preserve">The Seasonal Naive model achieved an RMSE of </w:t>
      </w:r>
      <w:r w:rsidRPr="00FD7075">
        <w:rPr>
          <w:rFonts w:ascii="Times New Roman" w:hAnsi="Times New Roman" w:cs="Times New Roman"/>
          <w:b/>
          <w:bCs/>
          <w:sz w:val="24"/>
          <w:szCs w:val="24"/>
        </w:rPr>
        <w:t>3,006.8 MW</w:t>
      </w:r>
      <w:r w:rsidRPr="00FD7075">
        <w:rPr>
          <w:rFonts w:ascii="Times New Roman" w:hAnsi="Times New Roman" w:cs="Times New Roman"/>
          <w:sz w:val="24"/>
          <w:szCs w:val="24"/>
        </w:rPr>
        <w:t xml:space="preserve"> and was used as the benchmark. The </w:t>
      </w:r>
      <w:r w:rsidRPr="00FD7075">
        <w:rPr>
          <w:rFonts w:ascii="Times New Roman" w:hAnsi="Times New Roman" w:cs="Times New Roman"/>
          <w:b/>
          <w:bCs/>
          <w:sz w:val="24"/>
          <w:szCs w:val="24"/>
        </w:rPr>
        <w:t>Stacked LSTM</w:t>
      </w:r>
      <w:r w:rsidRPr="00FD7075">
        <w:rPr>
          <w:rFonts w:ascii="Times New Roman" w:hAnsi="Times New Roman" w:cs="Times New Roman"/>
          <w:sz w:val="24"/>
          <w:szCs w:val="24"/>
        </w:rPr>
        <w:t xml:space="preserve"> (RMSE = </w:t>
      </w:r>
      <w:r w:rsidRPr="00FD7075">
        <w:rPr>
          <w:rFonts w:ascii="Times New Roman" w:hAnsi="Times New Roman" w:cs="Times New Roman"/>
          <w:b/>
          <w:bCs/>
          <w:sz w:val="24"/>
          <w:szCs w:val="24"/>
        </w:rPr>
        <w:t>128.7 MW</w:t>
      </w:r>
      <w:r w:rsidRPr="00FD7075">
        <w:rPr>
          <w:rFonts w:ascii="Times New Roman" w:hAnsi="Times New Roman" w:cs="Times New Roman"/>
          <w:sz w:val="24"/>
          <w:szCs w:val="24"/>
        </w:rPr>
        <w:t xml:space="preserve">) gave the best performance, followed by the </w:t>
      </w:r>
      <w:r w:rsidRPr="00FD7075">
        <w:rPr>
          <w:rFonts w:ascii="Times New Roman" w:hAnsi="Times New Roman" w:cs="Times New Roman"/>
          <w:b/>
          <w:bCs/>
          <w:sz w:val="24"/>
          <w:szCs w:val="24"/>
        </w:rPr>
        <w:t>Bidirectional LSTM</w:t>
      </w:r>
      <w:r w:rsidRPr="00FD7075">
        <w:rPr>
          <w:rFonts w:ascii="Times New Roman" w:hAnsi="Times New Roman" w:cs="Times New Roman"/>
          <w:sz w:val="24"/>
          <w:szCs w:val="24"/>
        </w:rPr>
        <w:t xml:space="preserve"> (RMSE = </w:t>
      </w:r>
      <w:r w:rsidRPr="00FD7075">
        <w:rPr>
          <w:rFonts w:ascii="Times New Roman" w:hAnsi="Times New Roman" w:cs="Times New Roman"/>
          <w:b/>
          <w:bCs/>
          <w:sz w:val="24"/>
          <w:szCs w:val="24"/>
        </w:rPr>
        <w:t>704.3 MW</w:t>
      </w:r>
      <w:r w:rsidRPr="00FD7075">
        <w:rPr>
          <w:rFonts w:ascii="Times New Roman" w:hAnsi="Times New Roman" w:cs="Times New Roman"/>
          <w:sz w:val="24"/>
          <w:szCs w:val="24"/>
        </w:rPr>
        <w:t xml:space="preserve">). </w:t>
      </w:r>
      <w:r w:rsidRPr="00FD7075">
        <w:rPr>
          <w:rFonts w:ascii="Times New Roman" w:hAnsi="Times New Roman" w:cs="Times New Roman"/>
          <w:b/>
          <w:bCs/>
          <w:sz w:val="24"/>
          <w:szCs w:val="24"/>
        </w:rPr>
        <w:t>Random Forest</w:t>
      </w:r>
      <w:r w:rsidRPr="00FD7075">
        <w:rPr>
          <w:rFonts w:ascii="Times New Roman" w:hAnsi="Times New Roman" w:cs="Times New Roman"/>
          <w:sz w:val="24"/>
          <w:szCs w:val="24"/>
        </w:rPr>
        <w:t xml:space="preserve"> (RMSE = </w:t>
      </w:r>
      <w:r w:rsidRPr="00FD7075">
        <w:rPr>
          <w:rFonts w:ascii="Times New Roman" w:hAnsi="Times New Roman" w:cs="Times New Roman"/>
          <w:b/>
          <w:bCs/>
          <w:sz w:val="24"/>
          <w:szCs w:val="24"/>
        </w:rPr>
        <w:t>2,663.0 MW</w:t>
      </w:r>
      <w:r w:rsidRPr="00FD7075">
        <w:rPr>
          <w:rFonts w:ascii="Times New Roman" w:hAnsi="Times New Roman" w:cs="Times New Roman"/>
          <w:sz w:val="24"/>
          <w:szCs w:val="24"/>
        </w:rPr>
        <w:t xml:space="preserve">) and </w:t>
      </w:r>
      <w:r w:rsidRPr="00FD7075">
        <w:rPr>
          <w:rFonts w:ascii="Times New Roman" w:hAnsi="Times New Roman" w:cs="Times New Roman"/>
          <w:b/>
          <w:bCs/>
          <w:sz w:val="24"/>
          <w:szCs w:val="24"/>
        </w:rPr>
        <w:t>Gradient Boosting</w:t>
      </w:r>
      <w:r w:rsidRPr="00FD7075">
        <w:rPr>
          <w:rFonts w:ascii="Times New Roman" w:hAnsi="Times New Roman" w:cs="Times New Roman"/>
          <w:sz w:val="24"/>
          <w:szCs w:val="24"/>
        </w:rPr>
        <w:t xml:space="preserve"> (RMSE = </w:t>
      </w:r>
      <w:r w:rsidRPr="00FD7075">
        <w:rPr>
          <w:rFonts w:ascii="Times New Roman" w:hAnsi="Times New Roman" w:cs="Times New Roman"/>
          <w:b/>
          <w:bCs/>
          <w:sz w:val="24"/>
          <w:szCs w:val="24"/>
        </w:rPr>
        <w:t>2,680.5 MW</w:t>
      </w:r>
      <w:r w:rsidRPr="00FD7075">
        <w:rPr>
          <w:rFonts w:ascii="Times New Roman" w:hAnsi="Times New Roman" w:cs="Times New Roman"/>
          <w:sz w:val="24"/>
          <w:szCs w:val="24"/>
        </w:rPr>
        <w:t xml:space="preserve">) also performed better than the Seasonal Naive model. The corrected </w:t>
      </w:r>
      <w:r w:rsidRPr="00FD7075">
        <w:rPr>
          <w:rFonts w:ascii="Times New Roman" w:hAnsi="Times New Roman" w:cs="Times New Roman"/>
          <w:b/>
          <w:bCs/>
          <w:sz w:val="24"/>
          <w:szCs w:val="24"/>
        </w:rPr>
        <w:t>SARIMAX</w:t>
      </w:r>
      <w:r w:rsidRPr="00FD7075">
        <w:rPr>
          <w:rFonts w:ascii="Times New Roman" w:hAnsi="Times New Roman" w:cs="Times New Roman"/>
          <w:sz w:val="24"/>
          <w:szCs w:val="24"/>
        </w:rPr>
        <w:t xml:space="preserve"> model (RMSE = </w:t>
      </w:r>
      <w:r w:rsidRPr="00FD7075">
        <w:rPr>
          <w:rFonts w:ascii="Times New Roman" w:hAnsi="Times New Roman" w:cs="Times New Roman"/>
          <w:b/>
          <w:bCs/>
          <w:sz w:val="24"/>
          <w:szCs w:val="24"/>
        </w:rPr>
        <w:t>3,223.1 MW</w:t>
      </w:r>
      <w:r w:rsidRPr="00FD7075">
        <w:rPr>
          <w:rFonts w:ascii="Times New Roman" w:hAnsi="Times New Roman" w:cs="Times New Roman"/>
          <w:sz w:val="24"/>
          <w:szCs w:val="24"/>
        </w:rPr>
        <w:t>) improved on SARIMA but did not beat the Seasonal Naive benchmark. Overall, the LSTM models gave the largest improvement.</w:t>
      </w:r>
    </w:p>
    <w:p w14:paraId="7673395D" w14:textId="77777777" w:rsidR="00FD7075" w:rsidRPr="00FD7075" w:rsidRDefault="00FD7075" w:rsidP="00FD7075">
      <w:pPr>
        <w:spacing w:after="160"/>
        <w:jc w:val="both"/>
        <w:rPr>
          <w:rFonts w:ascii="Times New Roman" w:hAnsi="Times New Roman" w:cs="Times New Roman"/>
          <w:b/>
          <w:bCs/>
          <w:sz w:val="24"/>
          <w:szCs w:val="24"/>
        </w:rPr>
      </w:pPr>
      <w:r w:rsidRPr="00FD7075">
        <w:rPr>
          <w:rFonts w:ascii="Times New Roman" w:hAnsi="Times New Roman" w:cs="Times New Roman"/>
          <w:b/>
          <w:bCs/>
          <w:sz w:val="24"/>
          <w:szCs w:val="24"/>
        </w:rPr>
        <w:t>9.2 How was data leakage avoided when creating temperature lag features?</w:t>
      </w:r>
    </w:p>
    <w:p w14:paraId="3D6CAC55" w14:textId="77777777" w:rsidR="00FD7075" w:rsidRPr="00FD7075" w:rsidRDefault="00FD7075" w:rsidP="00FD7075">
      <w:pPr>
        <w:spacing w:after="160"/>
        <w:jc w:val="both"/>
        <w:rPr>
          <w:rFonts w:ascii="Times New Roman" w:hAnsi="Times New Roman" w:cs="Times New Roman"/>
          <w:sz w:val="24"/>
          <w:szCs w:val="24"/>
        </w:rPr>
      </w:pPr>
      <w:r w:rsidRPr="00FD7075">
        <w:rPr>
          <w:rFonts w:ascii="Times New Roman" w:hAnsi="Times New Roman" w:cs="Times New Roman"/>
          <w:sz w:val="24"/>
          <w:szCs w:val="24"/>
        </w:rPr>
        <w:t xml:space="preserve">Data leakage was avoided by using only past values to create lag features with the </w:t>
      </w:r>
      <w:proofErr w:type="gramStart"/>
      <w:r w:rsidRPr="00FD7075">
        <w:rPr>
          <w:rFonts w:ascii="Times New Roman" w:hAnsi="Times New Roman" w:cs="Times New Roman"/>
          <w:sz w:val="24"/>
          <w:szCs w:val="24"/>
        </w:rPr>
        <w:t>shift(</w:t>
      </w:r>
      <w:proofErr w:type="gramEnd"/>
      <w:r w:rsidRPr="00FD7075">
        <w:rPr>
          <w:rFonts w:ascii="Times New Roman" w:hAnsi="Times New Roman" w:cs="Times New Roman"/>
          <w:sz w:val="24"/>
          <w:szCs w:val="24"/>
        </w:rPr>
        <w:t>) function. Rolling features were also calculated using previous observations only. The training and testing datasets were kept separate, and the scaler for the SARIMAX model was fitted only on the training data before being applied to the test data.</w:t>
      </w:r>
    </w:p>
    <w:p w14:paraId="0A1AE21B" w14:textId="77777777" w:rsidR="00FD7075" w:rsidRPr="00FD7075" w:rsidRDefault="00FD7075" w:rsidP="00FD7075">
      <w:pPr>
        <w:spacing w:after="160"/>
        <w:jc w:val="both"/>
        <w:rPr>
          <w:rFonts w:ascii="Times New Roman" w:hAnsi="Times New Roman" w:cs="Times New Roman"/>
          <w:b/>
          <w:bCs/>
          <w:sz w:val="24"/>
          <w:szCs w:val="24"/>
        </w:rPr>
      </w:pPr>
      <w:r w:rsidRPr="00FD7075">
        <w:rPr>
          <w:rFonts w:ascii="Times New Roman" w:hAnsi="Times New Roman" w:cs="Times New Roman"/>
          <w:b/>
          <w:bCs/>
          <w:sz w:val="24"/>
          <w:szCs w:val="24"/>
        </w:rPr>
        <w:t>9.3 For the SARIMAX model, justify the chosen differencing orders and seasonal period.</w:t>
      </w:r>
    </w:p>
    <w:p w14:paraId="509F6CA9" w14:textId="59567586" w:rsidR="00FD7075" w:rsidRPr="00FD7075" w:rsidRDefault="00FD7075" w:rsidP="00FD7075">
      <w:pPr>
        <w:spacing w:after="160"/>
        <w:jc w:val="both"/>
        <w:rPr>
          <w:rFonts w:ascii="Times New Roman" w:hAnsi="Times New Roman" w:cs="Times New Roman"/>
          <w:sz w:val="24"/>
          <w:szCs w:val="24"/>
        </w:rPr>
      </w:pPr>
      <w:r w:rsidRPr="00FD7075">
        <w:rPr>
          <w:rFonts w:ascii="Times New Roman" w:hAnsi="Times New Roman" w:cs="Times New Roman"/>
          <w:sz w:val="24"/>
          <w:szCs w:val="24"/>
        </w:rPr>
        <w:t xml:space="preserve">The seasonal period was set to </w:t>
      </w:r>
      <w:r w:rsidRPr="00FD7075">
        <w:rPr>
          <w:rFonts w:ascii="Times New Roman" w:hAnsi="Times New Roman" w:cs="Times New Roman"/>
          <w:b/>
          <w:bCs/>
          <w:sz w:val="24"/>
          <w:szCs w:val="24"/>
        </w:rPr>
        <w:t>52 weeks</w:t>
      </w:r>
      <w:r w:rsidRPr="00FD7075">
        <w:rPr>
          <w:rFonts w:ascii="Times New Roman" w:hAnsi="Times New Roman" w:cs="Times New Roman"/>
          <w:sz w:val="24"/>
          <w:szCs w:val="24"/>
        </w:rPr>
        <w:t xml:space="preserve"> because electricity demand follows a yearly pattern. The ADF and KPSS tests showed that the weekly series was already stationary, so </w:t>
      </w:r>
      <w:r w:rsidRPr="00FD7075">
        <w:rPr>
          <w:rFonts w:ascii="Times New Roman" w:hAnsi="Times New Roman" w:cs="Times New Roman"/>
          <w:b/>
          <w:bCs/>
          <w:sz w:val="24"/>
          <w:szCs w:val="24"/>
        </w:rPr>
        <w:t>d = 0</w:t>
      </w:r>
      <w:r w:rsidRPr="00FD7075">
        <w:rPr>
          <w:rFonts w:ascii="Times New Roman" w:hAnsi="Times New Roman" w:cs="Times New Roman"/>
          <w:sz w:val="24"/>
          <w:szCs w:val="24"/>
        </w:rPr>
        <w:t xml:space="preserve"> and </w:t>
      </w:r>
      <w:r w:rsidRPr="00FD7075">
        <w:rPr>
          <w:rFonts w:ascii="Times New Roman" w:hAnsi="Times New Roman" w:cs="Times New Roman"/>
          <w:b/>
          <w:bCs/>
          <w:sz w:val="24"/>
          <w:szCs w:val="24"/>
        </w:rPr>
        <w:t>D = 0</w:t>
      </w:r>
      <w:r w:rsidRPr="00FD7075">
        <w:rPr>
          <w:rFonts w:ascii="Times New Roman" w:hAnsi="Times New Roman" w:cs="Times New Roman"/>
          <w:sz w:val="24"/>
          <w:szCs w:val="24"/>
        </w:rPr>
        <w:t xml:space="preserve"> were selected. The final model chosen using AIC was </w:t>
      </w:r>
      <w:proofErr w:type="gramStart"/>
      <w:r w:rsidRPr="00FD7075">
        <w:rPr>
          <w:rFonts w:ascii="Times New Roman" w:hAnsi="Times New Roman" w:cs="Times New Roman"/>
          <w:b/>
          <w:bCs/>
          <w:sz w:val="24"/>
          <w:szCs w:val="24"/>
        </w:rPr>
        <w:t>SARIMA(</w:t>
      </w:r>
      <w:proofErr w:type="gramEnd"/>
      <w:r w:rsidRPr="00FD7075">
        <w:rPr>
          <w:rFonts w:ascii="Times New Roman" w:hAnsi="Times New Roman" w:cs="Times New Roman"/>
          <w:b/>
          <w:bCs/>
          <w:sz w:val="24"/>
          <w:szCs w:val="24"/>
        </w:rPr>
        <w:t>3,0,</w:t>
      </w:r>
      <w:proofErr w:type="gramStart"/>
      <w:r w:rsidRPr="00FD7075">
        <w:rPr>
          <w:rFonts w:ascii="Times New Roman" w:hAnsi="Times New Roman" w:cs="Times New Roman"/>
          <w:b/>
          <w:bCs/>
          <w:sz w:val="24"/>
          <w:szCs w:val="24"/>
        </w:rPr>
        <w:t>1)(</w:t>
      </w:r>
      <w:proofErr w:type="gramEnd"/>
      <w:r w:rsidRPr="00FD7075">
        <w:rPr>
          <w:rFonts w:ascii="Times New Roman" w:hAnsi="Times New Roman" w:cs="Times New Roman"/>
          <w:b/>
          <w:bCs/>
          <w:sz w:val="24"/>
          <w:szCs w:val="24"/>
        </w:rPr>
        <w:t>1,0,</w:t>
      </w:r>
      <w:proofErr w:type="gramStart"/>
      <w:r w:rsidRPr="00FD7075">
        <w:rPr>
          <w:rFonts w:ascii="Times New Roman" w:hAnsi="Times New Roman" w:cs="Times New Roman"/>
          <w:b/>
          <w:bCs/>
          <w:sz w:val="24"/>
          <w:szCs w:val="24"/>
        </w:rPr>
        <w:t>0)[</w:t>
      </w:r>
      <w:proofErr w:type="gramEnd"/>
      <w:r w:rsidRPr="00FD7075">
        <w:rPr>
          <w:rFonts w:ascii="Times New Roman" w:hAnsi="Times New Roman" w:cs="Times New Roman"/>
          <w:b/>
          <w:bCs/>
          <w:sz w:val="24"/>
          <w:szCs w:val="24"/>
        </w:rPr>
        <w:t>52]</w:t>
      </w:r>
      <w:r w:rsidRPr="00FD7075">
        <w:rPr>
          <w:rFonts w:ascii="Times New Roman" w:hAnsi="Times New Roman" w:cs="Times New Roman"/>
          <w:sz w:val="24"/>
          <w:szCs w:val="24"/>
        </w:rPr>
        <w:t>, and the same differencing was used for SARIMAX.</w:t>
      </w:r>
    </w:p>
    <w:p w14:paraId="0F186258" w14:textId="77777777" w:rsidR="00FD7075" w:rsidRPr="00FD7075" w:rsidRDefault="00FD7075" w:rsidP="00FD7075">
      <w:pPr>
        <w:spacing w:after="160"/>
        <w:jc w:val="both"/>
        <w:rPr>
          <w:rFonts w:ascii="Times New Roman" w:hAnsi="Times New Roman" w:cs="Times New Roman"/>
          <w:b/>
          <w:bCs/>
          <w:sz w:val="24"/>
          <w:szCs w:val="24"/>
        </w:rPr>
      </w:pPr>
      <w:r w:rsidRPr="00FD7075">
        <w:rPr>
          <w:rFonts w:ascii="Times New Roman" w:hAnsi="Times New Roman" w:cs="Times New Roman"/>
          <w:b/>
          <w:bCs/>
          <w:sz w:val="24"/>
          <w:szCs w:val="24"/>
        </w:rPr>
        <w:t>9.4 Do temperature and holiday covariates improve forecast accuracy? Are these covariates known at the forecast origin?</w:t>
      </w:r>
    </w:p>
    <w:p w14:paraId="44266B0B" w14:textId="1E66FE7F" w:rsidR="00FD7075" w:rsidRPr="00FD7075" w:rsidRDefault="00FD7075" w:rsidP="00287EF3">
      <w:pPr>
        <w:spacing w:after="160"/>
        <w:jc w:val="both"/>
        <w:rPr>
          <w:rFonts w:ascii="Times New Roman" w:hAnsi="Times New Roman" w:cs="Times New Roman"/>
          <w:sz w:val="24"/>
          <w:szCs w:val="24"/>
        </w:rPr>
      </w:pPr>
      <w:r w:rsidRPr="00FD7075">
        <w:rPr>
          <w:rFonts w:ascii="Times New Roman" w:hAnsi="Times New Roman" w:cs="Times New Roman"/>
          <w:sz w:val="24"/>
          <w:szCs w:val="24"/>
        </w:rPr>
        <w:lastRenderedPageBreak/>
        <w:t xml:space="preserve">Adding temperature improved the forecast. The corrected SARIMAX model reduced RMSE from </w:t>
      </w:r>
      <w:r w:rsidRPr="00FD7075">
        <w:rPr>
          <w:rFonts w:ascii="Times New Roman" w:hAnsi="Times New Roman" w:cs="Times New Roman"/>
          <w:b/>
          <w:bCs/>
          <w:sz w:val="24"/>
          <w:szCs w:val="24"/>
        </w:rPr>
        <w:t>5,585.0 MW</w:t>
      </w:r>
      <w:r w:rsidRPr="00FD7075">
        <w:rPr>
          <w:rFonts w:ascii="Times New Roman" w:hAnsi="Times New Roman" w:cs="Times New Roman"/>
          <w:sz w:val="24"/>
          <w:szCs w:val="24"/>
        </w:rPr>
        <w:t xml:space="preserve"> to </w:t>
      </w:r>
      <w:r w:rsidRPr="00FD7075">
        <w:rPr>
          <w:rFonts w:ascii="Times New Roman" w:hAnsi="Times New Roman" w:cs="Times New Roman"/>
          <w:b/>
          <w:bCs/>
          <w:sz w:val="24"/>
          <w:szCs w:val="24"/>
        </w:rPr>
        <w:t>3,223.1 MW</w:t>
      </w:r>
      <w:r w:rsidRPr="00FD7075">
        <w:rPr>
          <w:rFonts w:ascii="Times New Roman" w:hAnsi="Times New Roman" w:cs="Times New Roman"/>
          <w:sz w:val="24"/>
          <w:szCs w:val="24"/>
        </w:rPr>
        <w:t xml:space="preserve">, which is about a </w:t>
      </w:r>
      <w:r w:rsidRPr="00FD7075">
        <w:rPr>
          <w:rFonts w:ascii="Times New Roman" w:hAnsi="Times New Roman" w:cs="Times New Roman"/>
          <w:b/>
          <w:bCs/>
          <w:sz w:val="24"/>
          <w:szCs w:val="24"/>
        </w:rPr>
        <w:t>42% improvement</w:t>
      </w:r>
      <w:r w:rsidRPr="00FD7075">
        <w:rPr>
          <w:rFonts w:ascii="Times New Roman" w:hAnsi="Times New Roman" w:cs="Times New Roman"/>
          <w:sz w:val="24"/>
          <w:szCs w:val="24"/>
        </w:rPr>
        <w:t xml:space="preserve"> over SARIMA. However, it still did not perform better than the Seasonal Naive model. The SARIMAX model uses observed future temperature, so it is a </w:t>
      </w:r>
      <w:r w:rsidRPr="00FD7075">
        <w:rPr>
          <w:rFonts w:ascii="Times New Roman" w:hAnsi="Times New Roman" w:cs="Times New Roman"/>
          <w:b/>
          <w:bCs/>
          <w:sz w:val="24"/>
          <w:szCs w:val="24"/>
        </w:rPr>
        <w:t>conditional forecast</w:t>
      </w:r>
      <w:r w:rsidRPr="00FD7075">
        <w:rPr>
          <w:rFonts w:ascii="Times New Roman" w:hAnsi="Times New Roman" w:cs="Times New Roman"/>
          <w:sz w:val="24"/>
          <w:szCs w:val="24"/>
        </w:rPr>
        <w:t xml:space="preserve"> rather than a true operational forecast. Holiday variables were not included in this study, but they are known in advance and could improve forecasting in future work.</w:t>
      </w:r>
    </w:p>
    <w:p w14:paraId="10E5571F" w14:textId="77777777" w:rsidR="00FD7075" w:rsidRPr="00FD7075" w:rsidRDefault="00FD7075" w:rsidP="00FD7075">
      <w:pPr>
        <w:spacing w:after="160"/>
        <w:jc w:val="both"/>
        <w:rPr>
          <w:rFonts w:ascii="Times New Roman" w:hAnsi="Times New Roman" w:cs="Times New Roman"/>
          <w:b/>
          <w:bCs/>
          <w:sz w:val="24"/>
          <w:szCs w:val="24"/>
        </w:rPr>
      </w:pPr>
      <w:r w:rsidRPr="00FD7075">
        <w:rPr>
          <w:rFonts w:ascii="Times New Roman" w:hAnsi="Times New Roman" w:cs="Times New Roman"/>
          <w:b/>
          <w:bCs/>
          <w:sz w:val="24"/>
          <w:szCs w:val="24"/>
        </w:rPr>
        <w:t>9.5 Compare the interpretability and complexity of SARIMAX, feature-based and neural network models.</w:t>
      </w:r>
    </w:p>
    <w:p w14:paraId="0245662A" w14:textId="4B2B41FC" w:rsidR="00FD7075" w:rsidRPr="00FD7075" w:rsidRDefault="00FD7075" w:rsidP="00FD7075">
      <w:pPr>
        <w:spacing w:after="160"/>
        <w:jc w:val="both"/>
        <w:rPr>
          <w:rFonts w:ascii="Times New Roman" w:hAnsi="Times New Roman" w:cs="Times New Roman"/>
          <w:sz w:val="24"/>
          <w:szCs w:val="24"/>
        </w:rPr>
      </w:pPr>
      <w:r w:rsidRPr="00FD7075">
        <w:rPr>
          <w:rFonts w:ascii="Times New Roman" w:hAnsi="Times New Roman" w:cs="Times New Roman"/>
          <w:sz w:val="24"/>
          <w:szCs w:val="24"/>
        </w:rPr>
        <w:t xml:space="preserve">SARIMAX is the easiest model to understand because its coefficients can be interpreted and statistical tests can be applied. Random Forest and Gradient Boosting are moderately interpretable because feature importance shows which variables are most important. LSTM and </w:t>
      </w:r>
      <w:proofErr w:type="spellStart"/>
      <w:r w:rsidRPr="00FD7075">
        <w:rPr>
          <w:rFonts w:ascii="Times New Roman" w:hAnsi="Times New Roman" w:cs="Times New Roman"/>
          <w:sz w:val="24"/>
          <w:szCs w:val="24"/>
        </w:rPr>
        <w:t>BiLSTM</w:t>
      </w:r>
      <w:proofErr w:type="spellEnd"/>
      <w:r w:rsidRPr="00FD7075">
        <w:rPr>
          <w:rFonts w:ascii="Times New Roman" w:hAnsi="Times New Roman" w:cs="Times New Roman"/>
          <w:sz w:val="24"/>
          <w:szCs w:val="24"/>
        </w:rPr>
        <w:t xml:space="preserve"> are the most complex models and are difficult to interpret, although they achieved the best forecasting accuracy.</w:t>
      </w:r>
    </w:p>
    <w:p w14:paraId="3B6D00E5" w14:textId="77777777" w:rsidR="00FD7075" w:rsidRPr="00FD7075" w:rsidRDefault="00FD7075" w:rsidP="00FD7075">
      <w:pPr>
        <w:spacing w:after="160"/>
        <w:jc w:val="both"/>
        <w:rPr>
          <w:rFonts w:ascii="Times New Roman" w:hAnsi="Times New Roman" w:cs="Times New Roman"/>
          <w:b/>
          <w:bCs/>
          <w:sz w:val="24"/>
          <w:szCs w:val="24"/>
        </w:rPr>
      </w:pPr>
      <w:r w:rsidRPr="00FD7075">
        <w:rPr>
          <w:rFonts w:ascii="Times New Roman" w:hAnsi="Times New Roman" w:cs="Times New Roman"/>
          <w:b/>
          <w:bCs/>
          <w:sz w:val="24"/>
          <w:szCs w:val="24"/>
        </w:rPr>
        <w:t>9.6 Recommend one model for operational use and justify your choice.</w:t>
      </w:r>
    </w:p>
    <w:p w14:paraId="5FC82E67" w14:textId="77777777" w:rsidR="00FD7075" w:rsidRPr="00FD7075" w:rsidRDefault="00FD7075" w:rsidP="00FD7075">
      <w:pPr>
        <w:spacing w:after="160"/>
        <w:jc w:val="both"/>
        <w:rPr>
          <w:rFonts w:ascii="Times New Roman" w:hAnsi="Times New Roman" w:cs="Times New Roman"/>
          <w:sz w:val="24"/>
          <w:szCs w:val="24"/>
        </w:rPr>
      </w:pPr>
      <w:r w:rsidRPr="00FD7075">
        <w:rPr>
          <w:rFonts w:ascii="Times New Roman" w:hAnsi="Times New Roman" w:cs="Times New Roman"/>
          <w:sz w:val="24"/>
          <w:szCs w:val="24"/>
        </w:rPr>
        <w:t xml:space="preserve">Although the Stacked LSTM achieved the lowest RMSE, </w:t>
      </w:r>
      <w:r w:rsidRPr="00FD7075">
        <w:rPr>
          <w:rFonts w:ascii="Times New Roman" w:hAnsi="Times New Roman" w:cs="Times New Roman"/>
          <w:b/>
          <w:bCs/>
          <w:sz w:val="24"/>
          <w:szCs w:val="24"/>
        </w:rPr>
        <w:t>Random Forest</w:t>
      </w:r>
      <w:r w:rsidRPr="00FD7075">
        <w:rPr>
          <w:rFonts w:ascii="Times New Roman" w:hAnsi="Times New Roman" w:cs="Times New Roman"/>
          <w:sz w:val="24"/>
          <w:szCs w:val="24"/>
        </w:rPr>
        <w:t xml:space="preserve"> is recommended for operational forecasting. It provides good accuracy (</w:t>
      </w:r>
      <w:r w:rsidRPr="00FD7075">
        <w:rPr>
          <w:rFonts w:ascii="Times New Roman" w:hAnsi="Times New Roman" w:cs="Times New Roman"/>
          <w:b/>
          <w:bCs/>
          <w:sz w:val="24"/>
          <w:szCs w:val="24"/>
        </w:rPr>
        <w:t>RMSE = 2,663.0 MW</w:t>
      </w:r>
      <w:r w:rsidRPr="00FD7075">
        <w:rPr>
          <w:rFonts w:ascii="Times New Roman" w:hAnsi="Times New Roman" w:cs="Times New Roman"/>
          <w:sz w:val="24"/>
          <w:szCs w:val="24"/>
        </w:rPr>
        <w:t>), trains quickly, is easier to maintain, and offers feature importance that helps explain its predictions. It also requires less computing power than LSTM models, making it more suitable for practical use.</w:t>
      </w:r>
    </w:p>
    <w:p w14:paraId="77CA398C" w14:textId="77777777" w:rsidR="00FD7075" w:rsidRPr="00F87B2E" w:rsidRDefault="00FD7075">
      <w:pPr>
        <w:spacing w:after="160"/>
        <w:jc w:val="both"/>
        <w:rPr>
          <w:rFonts w:ascii="Times New Roman" w:hAnsi="Times New Roman" w:cs="Times New Roman"/>
          <w:sz w:val="24"/>
          <w:szCs w:val="24"/>
        </w:rPr>
      </w:pPr>
    </w:p>
    <w:p w14:paraId="120A7216" w14:textId="77777777" w:rsidR="003D7135" w:rsidRPr="00FC4A92" w:rsidRDefault="008C601E">
      <w:pPr>
        <w:pStyle w:val="Heading1"/>
        <w:spacing w:before="360" w:after="200"/>
        <w:rPr>
          <w:rFonts w:ascii="Times New Roman" w:hAnsi="Times New Roman" w:cs="Times New Roman"/>
          <w:color w:val="auto"/>
        </w:rPr>
      </w:pPr>
      <w:r w:rsidRPr="00FC4A92">
        <w:rPr>
          <w:rFonts w:ascii="Times New Roman" w:hAnsi="Times New Roman" w:cs="Times New Roman"/>
          <w:color w:val="auto"/>
        </w:rPr>
        <w:t>References</w:t>
      </w:r>
    </w:p>
    <w:p w14:paraId="35C76712" w14:textId="77777777" w:rsidR="003D7135" w:rsidRPr="00F87B2E" w:rsidRDefault="008C601E" w:rsidP="00F87B2E">
      <w:pPr>
        <w:pStyle w:val="ListParagraph"/>
        <w:numPr>
          <w:ilvl w:val="0"/>
          <w:numId w:val="2"/>
        </w:numPr>
        <w:spacing w:after="60" w:line="276" w:lineRule="auto"/>
        <w:jc w:val="both"/>
        <w:rPr>
          <w:rFonts w:ascii="Times New Roman" w:hAnsi="Times New Roman" w:cs="Times New Roman"/>
          <w:sz w:val="24"/>
          <w:szCs w:val="24"/>
        </w:rPr>
      </w:pPr>
      <w:r w:rsidRPr="00F87B2E">
        <w:rPr>
          <w:rFonts w:ascii="Times New Roman" w:hAnsi="Times New Roman" w:cs="Times New Roman"/>
          <w:sz w:val="24"/>
          <w:szCs w:val="24"/>
        </w:rPr>
        <w:t xml:space="preserve">Box, G.E.P., Jenkins, G.M., Reinsel, G.C. and Ljung, G.M. (2015) </w:t>
      </w:r>
      <w:r w:rsidRPr="00F87B2E">
        <w:rPr>
          <w:rFonts w:ascii="Times New Roman" w:hAnsi="Times New Roman" w:cs="Times New Roman"/>
          <w:i/>
          <w:iCs/>
          <w:sz w:val="24"/>
          <w:szCs w:val="24"/>
        </w:rPr>
        <w:t>Time Series Analysis: Forecasting and Control.</w:t>
      </w:r>
      <w:r w:rsidRPr="00F87B2E">
        <w:rPr>
          <w:rFonts w:ascii="Times New Roman" w:hAnsi="Times New Roman" w:cs="Times New Roman"/>
          <w:sz w:val="24"/>
          <w:szCs w:val="24"/>
        </w:rPr>
        <w:t xml:space="preserve"> 5th </w:t>
      </w:r>
      <w:proofErr w:type="spellStart"/>
      <w:r w:rsidRPr="00F87B2E">
        <w:rPr>
          <w:rFonts w:ascii="Times New Roman" w:hAnsi="Times New Roman" w:cs="Times New Roman"/>
          <w:sz w:val="24"/>
          <w:szCs w:val="24"/>
        </w:rPr>
        <w:t>edn</w:t>
      </w:r>
      <w:proofErr w:type="spellEnd"/>
      <w:r w:rsidRPr="00F87B2E">
        <w:rPr>
          <w:rFonts w:ascii="Times New Roman" w:hAnsi="Times New Roman" w:cs="Times New Roman"/>
          <w:sz w:val="24"/>
          <w:szCs w:val="24"/>
        </w:rPr>
        <w:t>. Hoboken: Wiley.</w:t>
      </w:r>
    </w:p>
    <w:p w14:paraId="3DC9F668" w14:textId="77777777" w:rsidR="003D7135" w:rsidRPr="00F87B2E" w:rsidRDefault="008C601E" w:rsidP="00F87B2E">
      <w:pPr>
        <w:pStyle w:val="ListParagraph"/>
        <w:numPr>
          <w:ilvl w:val="0"/>
          <w:numId w:val="2"/>
        </w:numPr>
        <w:spacing w:after="60" w:line="276" w:lineRule="auto"/>
        <w:jc w:val="both"/>
        <w:rPr>
          <w:rFonts w:ascii="Times New Roman" w:hAnsi="Times New Roman" w:cs="Times New Roman"/>
          <w:sz w:val="24"/>
          <w:szCs w:val="24"/>
        </w:rPr>
      </w:pPr>
      <w:proofErr w:type="spellStart"/>
      <w:r w:rsidRPr="00F87B2E">
        <w:rPr>
          <w:rFonts w:ascii="Times New Roman" w:hAnsi="Times New Roman" w:cs="Times New Roman"/>
          <w:sz w:val="24"/>
          <w:szCs w:val="24"/>
        </w:rPr>
        <w:t>Breiman</w:t>
      </w:r>
      <w:proofErr w:type="spellEnd"/>
      <w:r w:rsidRPr="00F87B2E">
        <w:rPr>
          <w:rFonts w:ascii="Times New Roman" w:hAnsi="Times New Roman" w:cs="Times New Roman"/>
          <w:sz w:val="24"/>
          <w:szCs w:val="24"/>
        </w:rPr>
        <w:t>, L. (2001) ‘</w:t>
      </w:r>
      <w:r w:rsidRPr="00F87B2E">
        <w:rPr>
          <w:rFonts w:ascii="Times New Roman" w:hAnsi="Times New Roman" w:cs="Times New Roman"/>
          <w:i/>
          <w:iCs/>
          <w:sz w:val="24"/>
          <w:szCs w:val="24"/>
        </w:rPr>
        <w:t>Random Forests’, Machine Learning, 45(1), pp. 5–32</w:t>
      </w:r>
      <w:r w:rsidRPr="00F87B2E">
        <w:rPr>
          <w:rFonts w:ascii="Times New Roman" w:hAnsi="Times New Roman" w:cs="Times New Roman"/>
          <w:sz w:val="24"/>
          <w:szCs w:val="24"/>
        </w:rPr>
        <w:t>.</w:t>
      </w:r>
    </w:p>
    <w:p w14:paraId="07FEB798" w14:textId="77777777" w:rsidR="003D7135" w:rsidRPr="00F87B2E" w:rsidRDefault="008C601E" w:rsidP="00F87B2E">
      <w:pPr>
        <w:pStyle w:val="ListParagraph"/>
        <w:numPr>
          <w:ilvl w:val="0"/>
          <w:numId w:val="2"/>
        </w:numPr>
        <w:spacing w:after="60" w:line="276" w:lineRule="auto"/>
        <w:jc w:val="both"/>
        <w:rPr>
          <w:rFonts w:ascii="Times New Roman" w:hAnsi="Times New Roman" w:cs="Times New Roman"/>
          <w:sz w:val="24"/>
          <w:szCs w:val="24"/>
        </w:rPr>
      </w:pPr>
      <w:r w:rsidRPr="00F87B2E">
        <w:rPr>
          <w:rFonts w:ascii="Times New Roman" w:hAnsi="Times New Roman" w:cs="Times New Roman"/>
          <w:sz w:val="24"/>
          <w:szCs w:val="24"/>
        </w:rPr>
        <w:t>Friedman, J.H. (2001) ‘</w:t>
      </w:r>
      <w:r w:rsidRPr="00F87B2E">
        <w:rPr>
          <w:rFonts w:ascii="Times New Roman" w:hAnsi="Times New Roman" w:cs="Times New Roman"/>
          <w:i/>
          <w:iCs/>
          <w:sz w:val="24"/>
          <w:szCs w:val="24"/>
        </w:rPr>
        <w:t>Greedy Function Approximation: A Gradient Boosting Machine</w:t>
      </w:r>
      <w:r w:rsidRPr="00F87B2E">
        <w:rPr>
          <w:rFonts w:ascii="Times New Roman" w:hAnsi="Times New Roman" w:cs="Times New Roman"/>
          <w:sz w:val="24"/>
          <w:szCs w:val="24"/>
        </w:rPr>
        <w:t>’, Annals of Statistics, 29(5), pp. 1189–1232.</w:t>
      </w:r>
    </w:p>
    <w:p w14:paraId="51D60474" w14:textId="77777777" w:rsidR="003D7135" w:rsidRPr="00F87B2E" w:rsidRDefault="008C601E" w:rsidP="00F87B2E">
      <w:pPr>
        <w:pStyle w:val="ListParagraph"/>
        <w:numPr>
          <w:ilvl w:val="0"/>
          <w:numId w:val="2"/>
        </w:numPr>
        <w:spacing w:after="60" w:line="276" w:lineRule="auto"/>
        <w:jc w:val="both"/>
        <w:rPr>
          <w:rFonts w:ascii="Times New Roman" w:hAnsi="Times New Roman" w:cs="Times New Roman"/>
          <w:sz w:val="24"/>
          <w:szCs w:val="24"/>
        </w:rPr>
      </w:pPr>
      <w:proofErr w:type="spellStart"/>
      <w:r w:rsidRPr="00F87B2E">
        <w:rPr>
          <w:rFonts w:ascii="Times New Roman" w:hAnsi="Times New Roman" w:cs="Times New Roman"/>
          <w:sz w:val="24"/>
          <w:szCs w:val="24"/>
        </w:rPr>
        <w:t>Hewamalage</w:t>
      </w:r>
      <w:proofErr w:type="spellEnd"/>
      <w:r w:rsidRPr="00F87B2E">
        <w:rPr>
          <w:rFonts w:ascii="Times New Roman" w:hAnsi="Times New Roman" w:cs="Times New Roman"/>
          <w:sz w:val="24"/>
          <w:szCs w:val="24"/>
        </w:rPr>
        <w:t xml:space="preserve">, H., </w:t>
      </w:r>
      <w:proofErr w:type="spellStart"/>
      <w:r w:rsidRPr="00F87B2E">
        <w:rPr>
          <w:rFonts w:ascii="Times New Roman" w:hAnsi="Times New Roman" w:cs="Times New Roman"/>
          <w:sz w:val="24"/>
          <w:szCs w:val="24"/>
        </w:rPr>
        <w:t>Bergmeir</w:t>
      </w:r>
      <w:proofErr w:type="spellEnd"/>
      <w:r w:rsidRPr="00F87B2E">
        <w:rPr>
          <w:rFonts w:ascii="Times New Roman" w:hAnsi="Times New Roman" w:cs="Times New Roman"/>
          <w:sz w:val="24"/>
          <w:szCs w:val="24"/>
        </w:rPr>
        <w:t>, C. and Bandara, K. (2021) ‘</w:t>
      </w:r>
      <w:r w:rsidRPr="00F87B2E">
        <w:rPr>
          <w:rFonts w:ascii="Times New Roman" w:hAnsi="Times New Roman" w:cs="Times New Roman"/>
          <w:i/>
          <w:iCs/>
          <w:sz w:val="24"/>
          <w:szCs w:val="24"/>
        </w:rPr>
        <w:t>Recurrent Neural Networks for Time Series Forecasting</w:t>
      </w:r>
      <w:r w:rsidRPr="00F87B2E">
        <w:rPr>
          <w:rFonts w:ascii="Times New Roman" w:hAnsi="Times New Roman" w:cs="Times New Roman"/>
          <w:sz w:val="24"/>
          <w:szCs w:val="24"/>
        </w:rPr>
        <w:t>’, International Journal of Forecasting, 37(1), pp. 388–427.</w:t>
      </w:r>
    </w:p>
    <w:p w14:paraId="1A75C5DC" w14:textId="77777777" w:rsidR="003D7135" w:rsidRPr="00F87B2E" w:rsidRDefault="008C601E" w:rsidP="00F87B2E">
      <w:pPr>
        <w:pStyle w:val="ListParagraph"/>
        <w:numPr>
          <w:ilvl w:val="0"/>
          <w:numId w:val="2"/>
        </w:numPr>
        <w:spacing w:after="60" w:line="276" w:lineRule="auto"/>
        <w:jc w:val="both"/>
        <w:rPr>
          <w:rFonts w:ascii="Times New Roman" w:hAnsi="Times New Roman" w:cs="Times New Roman"/>
          <w:sz w:val="24"/>
          <w:szCs w:val="24"/>
        </w:rPr>
      </w:pPr>
      <w:r w:rsidRPr="00F87B2E">
        <w:rPr>
          <w:rFonts w:ascii="Times New Roman" w:hAnsi="Times New Roman" w:cs="Times New Roman"/>
          <w:sz w:val="24"/>
          <w:szCs w:val="24"/>
        </w:rPr>
        <w:t xml:space="preserve">Hochreiter, S. and </w:t>
      </w:r>
      <w:proofErr w:type="spellStart"/>
      <w:r w:rsidRPr="00F87B2E">
        <w:rPr>
          <w:rFonts w:ascii="Times New Roman" w:hAnsi="Times New Roman" w:cs="Times New Roman"/>
          <w:sz w:val="24"/>
          <w:szCs w:val="24"/>
        </w:rPr>
        <w:t>Schmidhuber</w:t>
      </w:r>
      <w:proofErr w:type="spellEnd"/>
      <w:r w:rsidRPr="00F87B2E">
        <w:rPr>
          <w:rFonts w:ascii="Times New Roman" w:hAnsi="Times New Roman" w:cs="Times New Roman"/>
          <w:sz w:val="24"/>
          <w:szCs w:val="24"/>
        </w:rPr>
        <w:t>, J. (1997) ‘</w:t>
      </w:r>
      <w:r w:rsidRPr="00F87B2E">
        <w:rPr>
          <w:rFonts w:ascii="Times New Roman" w:hAnsi="Times New Roman" w:cs="Times New Roman"/>
          <w:i/>
          <w:iCs/>
          <w:sz w:val="24"/>
          <w:szCs w:val="24"/>
        </w:rPr>
        <w:t>Long Short-Term Memory</w:t>
      </w:r>
      <w:r w:rsidRPr="00F87B2E">
        <w:rPr>
          <w:rFonts w:ascii="Times New Roman" w:hAnsi="Times New Roman" w:cs="Times New Roman"/>
          <w:sz w:val="24"/>
          <w:szCs w:val="24"/>
        </w:rPr>
        <w:t>’, Neural Computation, 9(8), pp. 1735–1780.</w:t>
      </w:r>
    </w:p>
    <w:p w14:paraId="33345C18" w14:textId="77777777" w:rsidR="003D7135" w:rsidRPr="00F87B2E" w:rsidRDefault="008C601E" w:rsidP="00F87B2E">
      <w:pPr>
        <w:pStyle w:val="ListParagraph"/>
        <w:numPr>
          <w:ilvl w:val="0"/>
          <w:numId w:val="2"/>
        </w:numPr>
        <w:spacing w:after="60" w:line="276" w:lineRule="auto"/>
        <w:jc w:val="both"/>
        <w:rPr>
          <w:rFonts w:ascii="Times New Roman" w:hAnsi="Times New Roman" w:cs="Times New Roman"/>
          <w:sz w:val="24"/>
          <w:szCs w:val="24"/>
        </w:rPr>
      </w:pPr>
      <w:r w:rsidRPr="00F87B2E">
        <w:rPr>
          <w:rFonts w:ascii="Times New Roman" w:hAnsi="Times New Roman" w:cs="Times New Roman"/>
          <w:sz w:val="24"/>
          <w:szCs w:val="24"/>
        </w:rPr>
        <w:t xml:space="preserve">Hyndman, R.J. and Athanasopoulos, G. (2021) </w:t>
      </w:r>
      <w:r w:rsidRPr="00F87B2E">
        <w:rPr>
          <w:rFonts w:ascii="Times New Roman" w:hAnsi="Times New Roman" w:cs="Times New Roman"/>
          <w:i/>
          <w:iCs/>
          <w:sz w:val="24"/>
          <w:szCs w:val="24"/>
        </w:rPr>
        <w:t>Forecasting: Principles and Practice</w:t>
      </w:r>
      <w:r w:rsidRPr="00F87B2E">
        <w:rPr>
          <w:rFonts w:ascii="Times New Roman" w:hAnsi="Times New Roman" w:cs="Times New Roman"/>
          <w:sz w:val="24"/>
          <w:szCs w:val="24"/>
        </w:rPr>
        <w:t xml:space="preserve">. 3rd </w:t>
      </w:r>
      <w:proofErr w:type="spellStart"/>
      <w:r w:rsidRPr="00F87B2E">
        <w:rPr>
          <w:rFonts w:ascii="Times New Roman" w:hAnsi="Times New Roman" w:cs="Times New Roman"/>
          <w:sz w:val="24"/>
          <w:szCs w:val="24"/>
        </w:rPr>
        <w:t>edn</w:t>
      </w:r>
      <w:proofErr w:type="spellEnd"/>
      <w:r w:rsidRPr="00F87B2E">
        <w:rPr>
          <w:rFonts w:ascii="Times New Roman" w:hAnsi="Times New Roman" w:cs="Times New Roman"/>
          <w:sz w:val="24"/>
          <w:szCs w:val="24"/>
        </w:rPr>
        <w:t xml:space="preserve">. Melbourne: </w:t>
      </w:r>
      <w:proofErr w:type="spellStart"/>
      <w:r w:rsidRPr="00F87B2E">
        <w:rPr>
          <w:rFonts w:ascii="Times New Roman" w:hAnsi="Times New Roman" w:cs="Times New Roman"/>
          <w:sz w:val="24"/>
          <w:szCs w:val="24"/>
        </w:rPr>
        <w:t>OTexts</w:t>
      </w:r>
      <w:proofErr w:type="spellEnd"/>
      <w:r w:rsidRPr="00F87B2E">
        <w:rPr>
          <w:rFonts w:ascii="Times New Roman" w:hAnsi="Times New Roman" w:cs="Times New Roman"/>
          <w:sz w:val="24"/>
          <w:szCs w:val="24"/>
        </w:rPr>
        <w:t>.</w:t>
      </w:r>
    </w:p>
    <w:p w14:paraId="7ABDD005" w14:textId="77777777" w:rsidR="003D7135" w:rsidRPr="00F87B2E" w:rsidRDefault="008C601E" w:rsidP="00F87B2E">
      <w:pPr>
        <w:pStyle w:val="ListParagraph"/>
        <w:numPr>
          <w:ilvl w:val="0"/>
          <w:numId w:val="2"/>
        </w:numPr>
        <w:spacing w:after="60" w:line="276" w:lineRule="auto"/>
        <w:jc w:val="both"/>
        <w:rPr>
          <w:rFonts w:ascii="Times New Roman" w:hAnsi="Times New Roman" w:cs="Times New Roman"/>
          <w:sz w:val="24"/>
          <w:szCs w:val="24"/>
        </w:rPr>
      </w:pPr>
      <w:r w:rsidRPr="00F87B2E">
        <w:rPr>
          <w:rFonts w:ascii="Times New Roman" w:hAnsi="Times New Roman" w:cs="Times New Roman"/>
          <w:sz w:val="24"/>
          <w:szCs w:val="24"/>
        </w:rPr>
        <w:t>Hyndman, R.J. and Khandakar, Y. (2008) ‘</w:t>
      </w:r>
      <w:r w:rsidRPr="00F87B2E">
        <w:rPr>
          <w:rFonts w:ascii="Times New Roman" w:hAnsi="Times New Roman" w:cs="Times New Roman"/>
          <w:i/>
          <w:iCs/>
          <w:sz w:val="24"/>
          <w:szCs w:val="24"/>
        </w:rPr>
        <w:t>Automatic Time Series Forecasting: The forecast Package for R</w:t>
      </w:r>
      <w:r w:rsidRPr="00F87B2E">
        <w:rPr>
          <w:rFonts w:ascii="Times New Roman" w:hAnsi="Times New Roman" w:cs="Times New Roman"/>
          <w:sz w:val="24"/>
          <w:szCs w:val="24"/>
        </w:rPr>
        <w:t>’, Journal of Statistical Software, 27(3), pp. 1–22.</w:t>
      </w:r>
    </w:p>
    <w:p w14:paraId="5EE23EB5" w14:textId="77777777" w:rsidR="003D7135" w:rsidRPr="00F87B2E" w:rsidRDefault="008C601E" w:rsidP="00F87B2E">
      <w:pPr>
        <w:pStyle w:val="ListParagraph"/>
        <w:numPr>
          <w:ilvl w:val="0"/>
          <w:numId w:val="2"/>
        </w:numPr>
        <w:spacing w:after="60" w:line="276" w:lineRule="auto"/>
        <w:jc w:val="both"/>
        <w:rPr>
          <w:rFonts w:ascii="Times New Roman" w:hAnsi="Times New Roman" w:cs="Times New Roman"/>
          <w:sz w:val="24"/>
          <w:szCs w:val="24"/>
        </w:rPr>
      </w:pPr>
      <w:r w:rsidRPr="00F87B2E">
        <w:rPr>
          <w:rFonts w:ascii="Times New Roman" w:hAnsi="Times New Roman" w:cs="Times New Roman"/>
          <w:sz w:val="24"/>
          <w:szCs w:val="24"/>
        </w:rPr>
        <w:t xml:space="preserve">Makridakis, S., Spiliotis, E. and </w:t>
      </w:r>
      <w:proofErr w:type="spellStart"/>
      <w:r w:rsidRPr="00F87B2E">
        <w:rPr>
          <w:rFonts w:ascii="Times New Roman" w:hAnsi="Times New Roman" w:cs="Times New Roman"/>
          <w:sz w:val="24"/>
          <w:szCs w:val="24"/>
        </w:rPr>
        <w:t>Assimakopoulos</w:t>
      </w:r>
      <w:proofErr w:type="spellEnd"/>
      <w:r w:rsidRPr="00F87B2E">
        <w:rPr>
          <w:rFonts w:ascii="Times New Roman" w:hAnsi="Times New Roman" w:cs="Times New Roman"/>
          <w:sz w:val="24"/>
          <w:szCs w:val="24"/>
        </w:rPr>
        <w:t>, V. (2018) ‘</w:t>
      </w:r>
      <w:r w:rsidRPr="00F87B2E">
        <w:rPr>
          <w:rFonts w:ascii="Times New Roman" w:hAnsi="Times New Roman" w:cs="Times New Roman"/>
          <w:i/>
          <w:iCs/>
          <w:sz w:val="24"/>
          <w:szCs w:val="24"/>
        </w:rPr>
        <w:t>Statistical and Machine Learning Forecasting Methods</w:t>
      </w:r>
      <w:r w:rsidRPr="00F87B2E">
        <w:rPr>
          <w:rFonts w:ascii="Times New Roman" w:hAnsi="Times New Roman" w:cs="Times New Roman"/>
          <w:sz w:val="24"/>
          <w:szCs w:val="24"/>
        </w:rPr>
        <w:t>’, PLOS ONE, 13(3), e0194889.</w:t>
      </w:r>
    </w:p>
    <w:p w14:paraId="288C9F5D" w14:textId="77777777" w:rsidR="003D7135" w:rsidRPr="00F87B2E" w:rsidRDefault="008C601E" w:rsidP="00F87B2E">
      <w:pPr>
        <w:pStyle w:val="ListParagraph"/>
        <w:numPr>
          <w:ilvl w:val="0"/>
          <w:numId w:val="2"/>
        </w:numPr>
        <w:spacing w:after="60" w:line="276" w:lineRule="auto"/>
        <w:jc w:val="both"/>
        <w:rPr>
          <w:rFonts w:ascii="Times New Roman" w:hAnsi="Times New Roman" w:cs="Times New Roman"/>
          <w:sz w:val="24"/>
          <w:szCs w:val="24"/>
        </w:rPr>
      </w:pPr>
      <w:r w:rsidRPr="00F87B2E">
        <w:rPr>
          <w:rFonts w:ascii="Times New Roman" w:hAnsi="Times New Roman" w:cs="Times New Roman"/>
          <w:sz w:val="24"/>
          <w:szCs w:val="24"/>
        </w:rPr>
        <w:t>Open-</w:t>
      </w:r>
      <w:proofErr w:type="spellStart"/>
      <w:r w:rsidRPr="00F87B2E">
        <w:rPr>
          <w:rFonts w:ascii="Times New Roman" w:hAnsi="Times New Roman" w:cs="Times New Roman"/>
          <w:sz w:val="24"/>
          <w:szCs w:val="24"/>
        </w:rPr>
        <w:t>Meteo</w:t>
      </w:r>
      <w:proofErr w:type="spellEnd"/>
      <w:r w:rsidRPr="00F87B2E">
        <w:rPr>
          <w:rFonts w:ascii="Times New Roman" w:hAnsi="Times New Roman" w:cs="Times New Roman"/>
          <w:sz w:val="24"/>
          <w:szCs w:val="24"/>
        </w:rPr>
        <w:t xml:space="preserve"> (2024) Historical Weather API. Available at: https://open-meteo.com/ (Accessed: 9 July 2026).</w:t>
      </w:r>
    </w:p>
    <w:p w14:paraId="35CA850F" w14:textId="77777777" w:rsidR="003D7135" w:rsidRPr="00F87B2E" w:rsidRDefault="008C601E" w:rsidP="00F87B2E">
      <w:pPr>
        <w:pStyle w:val="ListParagraph"/>
        <w:numPr>
          <w:ilvl w:val="0"/>
          <w:numId w:val="2"/>
        </w:numPr>
        <w:spacing w:after="60" w:line="276" w:lineRule="auto"/>
        <w:jc w:val="both"/>
        <w:rPr>
          <w:rFonts w:ascii="Times New Roman" w:hAnsi="Times New Roman" w:cs="Times New Roman"/>
          <w:sz w:val="24"/>
          <w:szCs w:val="24"/>
        </w:rPr>
      </w:pPr>
      <w:r w:rsidRPr="00F87B2E">
        <w:rPr>
          <w:rFonts w:ascii="Times New Roman" w:hAnsi="Times New Roman" w:cs="Times New Roman"/>
          <w:sz w:val="24"/>
          <w:szCs w:val="24"/>
        </w:rPr>
        <w:t>Open Power System Data (2020) Data Package: Time series. Version 2020-10-06. Available at: https://data.open-power-system-data.org/time_series/ (Accessed: 9 July 2026).</w:t>
      </w:r>
    </w:p>
    <w:sectPr w:rsidR="003D7135" w:rsidRPr="00F87B2E">
      <w:pgSz w:w="11906" w:h="16838"/>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D2B0F"/>
    <w:multiLevelType w:val="hybridMultilevel"/>
    <w:tmpl w:val="212628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7F33FDB"/>
    <w:multiLevelType w:val="hybridMultilevel"/>
    <w:tmpl w:val="018A55C8"/>
    <w:lvl w:ilvl="0" w:tplc="5C709C48">
      <w:start w:val="1"/>
      <w:numFmt w:val="bullet"/>
      <w:lvlText w:val="●"/>
      <w:lvlJc w:val="left"/>
      <w:pPr>
        <w:ind w:left="720" w:hanging="360"/>
      </w:pPr>
    </w:lvl>
    <w:lvl w:ilvl="1" w:tplc="04825606">
      <w:start w:val="1"/>
      <w:numFmt w:val="bullet"/>
      <w:lvlText w:val="○"/>
      <w:lvlJc w:val="left"/>
      <w:pPr>
        <w:ind w:left="1440" w:hanging="360"/>
      </w:pPr>
    </w:lvl>
    <w:lvl w:ilvl="2" w:tplc="92D0BF12">
      <w:start w:val="1"/>
      <w:numFmt w:val="bullet"/>
      <w:lvlText w:val="■"/>
      <w:lvlJc w:val="left"/>
      <w:pPr>
        <w:ind w:left="2160" w:hanging="360"/>
      </w:pPr>
    </w:lvl>
    <w:lvl w:ilvl="3" w:tplc="C0924AB4">
      <w:start w:val="1"/>
      <w:numFmt w:val="bullet"/>
      <w:lvlText w:val="●"/>
      <w:lvlJc w:val="left"/>
      <w:pPr>
        <w:ind w:left="2880" w:hanging="360"/>
      </w:pPr>
    </w:lvl>
    <w:lvl w:ilvl="4" w:tplc="57C81ED4">
      <w:start w:val="1"/>
      <w:numFmt w:val="bullet"/>
      <w:lvlText w:val="○"/>
      <w:lvlJc w:val="left"/>
      <w:pPr>
        <w:ind w:left="3600" w:hanging="360"/>
      </w:pPr>
    </w:lvl>
    <w:lvl w:ilvl="5" w:tplc="0AE06E1E">
      <w:start w:val="1"/>
      <w:numFmt w:val="bullet"/>
      <w:lvlText w:val="■"/>
      <w:lvlJc w:val="left"/>
      <w:pPr>
        <w:ind w:left="4320" w:hanging="360"/>
      </w:pPr>
    </w:lvl>
    <w:lvl w:ilvl="6" w:tplc="CCA2EE7C">
      <w:start w:val="1"/>
      <w:numFmt w:val="bullet"/>
      <w:lvlText w:val="●"/>
      <w:lvlJc w:val="left"/>
      <w:pPr>
        <w:ind w:left="5040" w:hanging="360"/>
      </w:pPr>
    </w:lvl>
    <w:lvl w:ilvl="7" w:tplc="ACD86FF6">
      <w:start w:val="1"/>
      <w:numFmt w:val="bullet"/>
      <w:lvlText w:val="●"/>
      <w:lvlJc w:val="left"/>
      <w:pPr>
        <w:ind w:left="5760" w:hanging="360"/>
      </w:pPr>
    </w:lvl>
    <w:lvl w:ilvl="8" w:tplc="8C8EC17E">
      <w:start w:val="1"/>
      <w:numFmt w:val="bullet"/>
      <w:lvlText w:val="●"/>
      <w:lvlJc w:val="left"/>
      <w:pPr>
        <w:ind w:left="6480" w:hanging="360"/>
      </w:pPr>
    </w:lvl>
  </w:abstractNum>
  <w:num w:numId="1" w16cid:durableId="869492488">
    <w:abstractNumId w:val="1"/>
    <w:lvlOverride w:ilvl="0">
      <w:startOverride w:val="1"/>
    </w:lvlOverride>
  </w:num>
  <w:num w:numId="2" w16cid:durableId="16207921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7135"/>
    <w:rsid w:val="00010CC0"/>
    <w:rsid w:val="00287EF3"/>
    <w:rsid w:val="003D7135"/>
    <w:rsid w:val="008C601E"/>
    <w:rsid w:val="00CD15A1"/>
    <w:rsid w:val="00F87B2E"/>
    <w:rsid w:val="00FC4A92"/>
    <w:rsid w:val="00FD707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79C64"/>
  <w15:docId w15:val="{AEFA928E-DE8F-4F7E-A5E2-2487BBD1A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28"/>
      <w:szCs w:val="28"/>
    </w:rPr>
  </w:style>
  <w:style w:type="paragraph" w:styleId="Heading2">
    <w:name w:val="heading 2"/>
    <w:uiPriority w:val="9"/>
    <w:semiHidden/>
    <w:unhideWhenUsed/>
    <w:qFormat/>
    <w:pPr>
      <w:spacing w:before="200" w:after="100"/>
      <w:outlineLvl w:val="1"/>
    </w:pPr>
    <w:rPr>
      <w:b/>
      <w:bCs/>
      <w:color w:val="2E539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10</Pages>
  <Words>2997</Words>
  <Characters>17084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gopi krishna goud</cp:lastModifiedBy>
  <cp:revision>5</cp:revision>
  <dcterms:created xsi:type="dcterms:W3CDTF">2026-07-10T18:57:00Z</dcterms:created>
  <dcterms:modified xsi:type="dcterms:W3CDTF">2026-07-10T23:22:00Z</dcterms:modified>
</cp:coreProperties>
</file>