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b/>
          <w:sz w:val="32"/>
        </w:rPr>
        <w:t>DUTY CYCLE-AWARE BATTERY DEGRADATION ANALYTICS</w:t>
        <w:br/>
        <w:t>FOR ELECTRIC VEHICLE FLEET APPLICATIONS</w:t>
      </w:r>
    </w:p>
    <w:p/>
    <w:p/>
    <w:p>
      <w:pPr>
        <w:jc w:val="center"/>
      </w:pPr>
      <w:r>
        <w:rPr>
          <w:sz w:val="24"/>
        </w:rPr>
        <w:t>By</w:t>
      </w:r>
    </w:p>
    <w:p>
      <w:pPr>
        <w:jc w:val="center"/>
      </w:pPr>
      <w:r>
        <w:rPr>
          <w:rFonts w:ascii="Arial" w:hAnsi="Arial"/>
          <w:b/>
          <w:sz w:val="24"/>
        </w:rPr>
        <w:t>Usha Rani V</w:t>
        <w:br/>
        <w:t>u2965962</w:t>
      </w:r>
    </w:p>
    <w:p/>
    <w:p>
      <w:pPr>
        <w:jc w:val="center"/>
      </w:pPr>
      <w:r>
        <w:rPr>
          <w:sz w:val="24"/>
        </w:rPr>
        <w:t>A dissertation submitted in partial fulfilment</w:t>
        <w:br/>
        <w:t>of the requirements for the degree of:</w:t>
      </w:r>
    </w:p>
    <w:p>
      <w:pPr>
        <w:jc w:val="center"/>
      </w:pPr>
      <w:r>
        <w:rPr>
          <w:rFonts w:ascii="Arial" w:hAnsi="Arial"/>
          <w:i/>
          <w:sz w:val="24"/>
        </w:rPr>
        <w:t>Master of Science</w:t>
        <w:br/>
        <w:t>in</w:t>
        <w:br/>
        <w:t>Electric Vehicle Engineering</w:t>
      </w:r>
    </w:p>
    <w:p/>
    <w:p>
      <w:pPr>
        <w:jc w:val="center"/>
      </w:pPr>
      <w:r>
        <w:rPr>
          <w:sz w:val="24"/>
        </w:rPr>
        <w:t>Submitted to the</w:t>
        <w:br/>
        <w:t>University of East London</w:t>
        <w:br/>
        <w:t>September 2026</w:t>
      </w:r>
    </w:p>
    <w:p/>
    <w:p>
      <w:pPr>
        <w:jc w:val="center"/>
      </w:pPr>
      <w:r>
        <w:rPr>
          <w:sz w:val="24"/>
        </w:rPr>
        <w:t>Supervisor: Dr. Albar</w:t>
      </w:r>
    </w:p>
    <w:p>
      <w:r>
        <w:br w:type="page"/>
      </w:r>
    </w:p>
    <w:p>
      <w:pPr>
        <w:spacing w:before="240" w:after="120"/>
        <w:jc w:val="left"/>
      </w:pPr>
      <w:r>
        <w:rPr>
          <w:rFonts w:ascii="Arial" w:hAnsi="Arial"/>
          <w:b/>
          <w:sz w:val="28"/>
        </w:rPr>
        <w:t>Abstract</w:t>
      </w:r>
    </w:p>
    <w:p>
      <w:pPr>
        <w:spacing w:after="120" w:line="360" w:lineRule="exact"/>
        <w:jc w:val="both"/>
      </w:pPr>
      <w:r>
        <w:rPr>
          <w:rFonts w:ascii="Arial" w:hAnsi="Arial"/>
          <w:b w:val="0"/>
          <w:i w:val="0"/>
          <w:sz w:val="24"/>
        </w:rPr>
        <w:t>The accelerating global adoption of electric vehicles (EVs) has created a critical demand for intelligent battery management systems capable of predicting degradation under real-world operational conditions. This dissertation develops a duty cycle-aware battery intelligence and preventive maintenance framework for EV fleets using explainable machine learning techniques. Unlike conventional studies that rely solely on laboratory cycling data, this research integrates open-source battery degradation datasets — NASA Prognostics, CALCE, and the University of Oxford — with representative EV drive cycle profiles including WLTP, UDDS, FTP-75, HWFET, and NEDC.</w:t>
      </w:r>
    </w:p>
    <w:p>
      <w:pPr>
        <w:spacing w:after="120" w:line="360" w:lineRule="exact"/>
        <w:jc w:val="both"/>
      </w:pPr>
      <w:r>
        <w:rPr>
          <w:rFonts w:ascii="Arial" w:hAnsi="Arial"/>
          <w:b w:val="0"/>
          <w:i w:val="0"/>
          <w:sz w:val="24"/>
        </w:rPr>
        <w:t>Operational stress indicators are derived from drive cycle velocity profiles through current demand approximation, and battery degradation-sensitive features are engineered including State of Health (SoH), internal resistance growth, coulombic efficiency, equivalent full cycles, and RMS current stress. Five machine learning models — Random Forest, XGBoost, Gradient Boosting, Support Vector Machine (SVM), and Long Short-Term Memory (LSTM) networks — are benchmarked for battery fault classification, degradation prediction, and Remaining Useful Life (RUL) estimation.</w:t>
      </w:r>
    </w:p>
    <w:p>
      <w:pPr>
        <w:spacing w:after="120" w:line="360" w:lineRule="exact"/>
        <w:jc w:val="both"/>
      </w:pPr>
      <w:r>
        <w:rPr>
          <w:rFonts w:ascii="Arial" w:hAnsi="Arial"/>
          <w:b w:val="0"/>
          <w:i w:val="0"/>
          <w:sz w:val="24"/>
        </w:rPr>
        <w:t>SHAP-based explainability analysis identifies the dominant operational factors driving degradation. A Fleet Severity Index (FSI) framework is proposed to rank battery health across fleet vehicles based on operational stress and predicted degradation trajectories. Findings are contextualised within UK EV policy, including the Zero Emission Vehicle Mandate and the Faraday Battery Challenge. Results demonstrate that duty cycle severity, C-rate variability, and cumulative cycling stress are the primary contributors to accelerated capacity fade, with LSTM achieving the best RUL prediction performance (RMSE = 0.018 Ah, R² = 0.981). The proposed FSI framework provides actionable fleet-level maintenance intelligence, bridging the gap between laboratory battery science and real-world EV operations.</w:t>
      </w:r>
    </w:p>
    <w:p>
      <w:pPr>
        <w:spacing w:after="120" w:line="360" w:lineRule="exact"/>
        <w:jc w:val="both"/>
      </w:pPr>
      <w:r>
        <w:rPr>
          <w:rFonts w:ascii="Arial" w:hAnsi="Arial"/>
          <w:b w:val="0"/>
          <w:i/>
          <w:sz w:val="24"/>
        </w:rPr>
        <w:t>Keywords: Battery degradation, State of Health, Duty cycle, Machine learning, SHAP, Fleet Severity Index, EV fleet, Predictive maintenance, LSTM, XGBoost.</w:t>
      </w:r>
    </w:p>
    <w:p>
      <w:r>
        <w:br w:type="page"/>
      </w:r>
    </w:p>
    <w:p>
      <w:pPr>
        <w:spacing w:before="240" w:after="120"/>
        <w:jc w:val="left"/>
      </w:pPr>
      <w:r>
        <w:rPr>
          <w:rFonts w:ascii="Arial" w:hAnsi="Arial"/>
          <w:b/>
          <w:sz w:val="28"/>
        </w:rPr>
        <w:t>Acknowledgements</w:t>
      </w:r>
    </w:p>
    <w:p>
      <w:pPr>
        <w:spacing w:after="120" w:line="360" w:lineRule="exact"/>
        <w:jc w:val="both"/>
      </w:pPr>
      <w:r>
        <w:rPr>
          <w:rFonts w:ascii="Arial" w:hAnsi="Arial"/>
          <w:b w:val="0"/>
          <w:i w:val="0"/>
          <w:sz w:val="24"/>
        </w:rPr>
        <w:t>I would like to express my sincere gratitude to my supervisor, Dr. Albar, for his invaluable guidance, constructive feedback, and continuous encouragement throughout this dissertation. His expertise in applied engineering research has been instrumental in shaping the direction and quality of this work.</w:t>
      </w:r>
    </w:p>
    <w:p>
      <w:pPr>
        <w:spacing w:after="120" w:line="360" w:lineRule="exact"/>
        <w:jc w:val="both"/>
      </w:pPr>
      <w:r>
        <w:rPr>
          <w:rFonts w:ascii="Arial" w:hAnsi="Arial"/>
          <w:b w:val="0"/>
          <w:i w:val="0"/>
          <w:sz w:val="24"/>
        </w:rPr>
        <w:t>I am also grateful to the University of East London's School of Architecture, Computing and Engineering for providing access to library resources, research databases, and technical support. Special thanks to the open-science community whose publicly available datasets — NASA PCoE, CALCE, and the University of Oxford — made this data-driven research possible.</w:t>
      </w:r>
    </w:p>
    <w:p>
      <w:pPr>
        <w:spacing w:after="120" w:line="360" w:lineRule="exact"/>
        <w:jc w:val="both"/>
      </w:pPr>
      <w:r>
        <w:rPr>
          <w:rFonts w:ascii="Arial" w:hAnsi="Arial"/>
          <w:b w:val="0"/>
          <w:i w:val="0"/>
          <w:sz w:val="24"/>
        </w:rPr>
        <w:t>Finally, I extend my heartfelt thanks to my family and friends for their unwavering support, patience, and motivation during this challenging academic journey.</w:t>
      </w:r>
    </w:p>
    <w:p>
      <w:r>
        <w:br w:type="page"/>
      </w:r>
    </w:p>
    <w:p>
      <w:pPr>
        <w:spacing w:before="240" w:after="120"/>
        <w:jc w:val="left"/>
      </w:pPr>
      <w:r>
        <w:rPr>
          <w:rFonts w:ascii="Arial" w:hAnsi="Arial"/>
          <w:b/>
          <w:sz w:val="28"/>
        </w:rPr>
        <w:t>Table of Contents</w:t>
      </w:r>
    </w:p>
    <w:p>
      <w:pPr>
        <w:spacing w:after="40"/>
      </w:pPr>
      <w:r>
        <w:rPr>
          <w:rFonts w:ascii="Arial" w:hAnsi="Arial"/>
          <w:sz w:val="22"/>
        </w:rPr>
        <w:t>Abstract</w:t>
      </w:r>
      <w:r>
        <w:rPr>
          <w:sz w:val="22"/>
        </w:rPr>
        <w:tab/>
        <w:t>2</w:t>
      </w:r>
    </w:p>
    <w:p>
      <w:pPr>
        <w:spacing w:after="40"/>
      </w:pPr>
      <w:r>
        <w:rPr>
          <w:rFonts w:ascii="Arial" w:hAnsi="Arial"/>
          <w:sz w:val="22"/>
        </w:rPr>
        <w:t>Acknowledgements</w:t>
      </w:r>
      <w:r>
        <w:rPr>
          <w:sz w:val="22"/>
        </w:rPr>
        <w:tab/>
        <w:t>3</w:t>
      </w:r>
    </w:p>
    <w:p>
      <w:pPr>
        <w:spacing w:after="40"/>
      </w:pPr>
      <w:r>
        <w:rPr>
          <w:rFonts w:ascii="Arial" w:hAnsi="Arial"/>
          <w:sz w:val="22"/>
        </w:rPr>
        <w:t>Table of Contents</w:t>
      </w:r>
      <w:r>
        <w:rPr>
          <w:sz w:val="22"/>
        </w:rPr>
        <w:tab/>
        <w:t>4</w:t>
      </w:r>
    </w:p>
    <w:p>
      <w:pPr>
        <w:spacing w:after="40"/>
      </w:pPr>
      <w:r>
        <w:rPr>
          <w:rFonts w:ascii="Arial" w:hAnsi="Arial"/>
          <w:sz w:val="22"/>
        </w:rPr>
        <w:t>List of Tables</w:t>
      </w:r>
      <w:r>
        <w:rPr>
          <w:sz w:val="22"/>
        </w:rPr>
        <w:tab/>
        <w:t>5</w:t>
      </w:r>
    </w:p>
    <w:p>
      <w:pPr>
        <w:spacing w:after="40"/>
      </w:pPr>
      <w:r>
        <w:rPr>
          <w:rFonts w:ascii="Arial" w:hAnsi="Arial"/>
          <w:sz w:val="22"/>
        </w:rPr>
        <w:t>List of Figures</w:t>
      </w:r>
      <w:r>
        <w:rPr>
          <w:sz w:val="22"/>
        </w:rPr>
        <w:tab/>
        <w:t>5</w:t>
      </w:r>
    </w:p>
    <w:p>
      <w:pPr>
        <w:spacing w:after="40"/>
      </w:pPr>
      <w:r>
        <w:rPr>
          <w:rFonts w:ascii="Arial" w:hAnsi="Arial"/>
          <w:sz w:val="22"/>
        </w:rPr>
        <w:t>Chapter 1 – Introduction</w:t>
      </w:r>
      <w:r>
        <w:rPr>
          <w:sz w:val="22"/>
        </w:rPr>
        <w:tab/>
        <w:t>6</w:t>
      </w:r>
    </w:p>
    <w:p>
      <w:pPr>
        <w:spacing w:after="40"/>
      </w:pPr>
      <w:r>
        <w:rPr>
          <w:rFonts w:ascii="Arial" w:hAnsi="Arial"/>
          <w:sz w:val="22"/>
        </w:rPr>
        <w:t xml:space="preserve">  1.1 Background and Motivation</w:t>
      </w:r>
      <w:r>
        <w:rPr>
          <w:sz w:val="22"/>
        </w:rPr>
        <w:tab/>
        <w:t>6</w:t>
      </w:r>
    </w:p>
    <w:p>
      <w:pPr>
        <w:spacing w:after="40"/>
      </w:pPr>
      <w:r>
        <w:rPr>
          <w:rFonts w:ascii="Arial" w:hAnsi="Arial"/>
          <w:sz w:val="22"/>
        </w:rPr>
        <w:t xml:space="preserve">  1.2 Problem Statement</w:t>
      </w:r>
      <w:r>
        <w:rPr>
          <w:sz w:val="22"/>
        </w:rPr>
        <w:tab/>
        <w:t>7</w:t>
      </w:r>
    </w:p>
    <w:p>
      <w:pPr>
        <w:spacing w:after="40"/>
      </w:pPr>
      <w:r>
        <w:rPr>
          <w:rFonts w:ascii="Arial" w:hAnsi="Arial"/>
          <w:sz w:val="22"/>
        </w:rPr>
        <w:t xml:space="preserve">  1.3 Aims and Objectives</w:t>
      </w:r>
      <w:r>
        <w:rPr>
          <w:sz w:val="22"/>
        </w:rPr>
        <w:tab/>
        <w:t>7</w:t>
      </w:r>
    </w:p>
    <w:p>
      <w:pPr>
        <w:spacing w:after="40"/>
      </w:pPr>
      <w:r>
        <w:rPr>
          <w:rFonts w:ascii="Arial" w:hAnsi="Arial"/>
          <w:sz w:val="22"/>
        </w:rPr>
        <w:t xml:space="preserve">  1.4 Scope and Limitations</w:t>
      </w:r>
      <w:r>
        <w:rPr>
          <w:sz w:val="22"/>
        </w:rPr>
        <w:tab/>
        <w:t>8</w:t>
      </w:r>
    </w:p>
    <w:p>
      <w:pPr>
        <w:spacing w:after="40"/>
      </w:pPr>
      <w:r>
        <w:rPr>
          <w:rFonts w:ascii="Arial" w:hAnsi="Arial"/>
          <w:sz w:val="22"/>
        </w:rPr>
        <w:t xml:space="preserve">  1.5 Dissertation Structure</w:t>
      </w:r>
      <w:r>
        <w:rPr>
          <w:sz w:val="22"/>
        </w:rPr>
        <w:tab/>
        <w:t>8</w:t>
      </w:r>
    </w:p>
    <w:p>
      <w:pPr>
        <w:spacing w:after="40"/>
      </w:pPr>
      <w:r>
        <w:rPr>
          <w:rFonts w:ascii="Arial" w:hAnsi="Arial"/>
          <w:sz w:val="22"/>
        </w:rPr>
        <w:t>Chapter 2 – Literature Review</w:t>
      </w:r>
      <w:r>
        <w:rPr>
          <w:sz w:val="22"/>
        </w:rPr>
        <w:tab/>
        <w:t>9</w:t>
      </w:r>
    </w:p>
    <w:p>
      <w:pPr>
        <w:spacing w:after="40"/>
      </w:pPr>
      <w:r>
        <w:rPr>
          <w:rFonts w:ascii="Arial" w:hAnsi="Arial"/>
          <w:sz w:val="22"/>
        </w:rPr>
        <w:t xml:space="preserve">  2.1 Lithium-Ion Battery Degradation Mechanisms</w:t>
      </w:r>
      <w:r>
        <w:rPr>
          <w:sz w:val="22"/>
        </w:rPr>
        <w:tab/>
        <w:t>9</w:t>
      </w:r>
    </w:p>
    <w:p>
      <w:pPr>
        <w:spacing w:after="40"/>
      </w:pPr>
      <w:r>
        <w:rPr>
          <w:rFonts w:ascii="Arial" w:hAnsi="Arial"/>
          <w:sz w:val="22"/>
        </w:rPr>
        <w:t xml:space="preserve">  2.2 Drive Cycle Analysis and Operational Stress</w:t>
      </w:r>
      <w:r>
        <w:rPr>
          <w:sz w:val="22"/>
        </w:rPr>
        <w:tab/>
        <w:t>11</w:t>
      </w:r>
    </w:p>
    <w:p>
      <w:pPr>
        <w:spacing w:after="40"/>
      </w:pPr>
      <w:r>
        <w:rPr>
          <w:rFonts w:ascii="Arial" w:hAnsi="Arial"/>
          <w:sz w:val="22"/>
        </w:rPr>
        <w:t xml:space="preserve">  2.3 Machine Learning for Battery Health Prediction</w:t>
      </w:r>
      <w:r>
        <w:rPr>
          <w:sz w:val="22"/>
        </w:rPr>
        <w:tab/>
        <w:t>12</w:t>
      </w:r>
    </w:p>
    <w:p>
      <w:pPr>
        <w:spacing w:after="40"/>
      </w:pPr>
      <w:r>
        <w:rPr>
          <w:rFonts w:ascii="Arial" w:hAnsi="Arial"/>
          <w:sz w:val="22"/>
        </w:rPr>
        <w:t xml:space="preserve">  2.4 Explainable AI in Battery Prognostics</w:t>
      </w:r>
      <w:r>
        <w:rPr>
          <w:sz w:val="22"/>
        </w:rPr>
        <w:tab/>
        <w:t>14</w:t>
      </w:r>
    </w:p>
    <w:p>
      <w:pPr>
        <w:spacing w:after="40"/>
      </w:pPr>
      <w:r>
        <w:rPr>
          <w:rFonts w:ascii="Arial" w:hAnsi="Arial"/>
          <w:sz w:val="22"/>
        </w:rPr>
        <w:t xml:space="preserve">  2.5 Fleet-Level Battery Intelligence and Maintenance</w:t>
      </w:r>
      <w:r>
        <w:rPr>
          <w:sz w:val="22"/>
        </w:rPr>
        <w:tab/>
        <w:t>15</w:t>
      </w:r>
    </w:p>
    <w:p>
      <w:pPr>
        <w:spacing w:after="40"/>
      </w:pPr>
      <w:r>
        <w:rPr>
          <w:rFonts w:ascii="Arial" w:hAnsi="Arial"/>
          <w:sz w:val="22"/>
        </w:rPr>
        <w:t xml:space="preserve">  2.6 UK EV Policy Context</w:t>
      </w:r>
      <w:r>
        <w:rPr>
          <w:sz w:val="22"/>
        </w:rPr>
        <w:tab/>
        <w:t>16</w:t>
      </w:r>
    </w:p>
    <w:p>
      <w:pPr>
        <w:spacing w:after="40"/>
      </w:pPr>
      <w:r>
        <w:rPr>
          <w:rFonts w:ascii="Arial" w:hAnsi="Arial"/>
          <w:sz w:val="22"/>
        </w:rPr>
        <w:t xml:space="preserve">  2.7 Research Gap and Contribution</w:t>
      </w:r>
      <w:r>
        <w:rPr>
          <w:sz w:val="22"/>
        </w:rPr>
        <w:tab/>
        <w:t>17</w:t>
      </w:r>
    </w:p>
    <w:p>
      <w:pPr>
        <w:spacing w:after="40"/>
      </w:pPr>
      <w:r>
        <w:rPr>
          <w:rFonts w:ascii="Arial" w:hAnsi="Arial"/>
          <w:sz w:val="22"/>
        </w:rPr>
        <w:t>Chapter 3 – Methodology</w:t>
      </w:r>
      <w:r>
        <w:rPr>
          <w:sz w:val="22"/>
        </w:rPr>
        <w:tab/>
        <w:t>18</w:t>
      </w:r>
    </w:p>
    <w:p>
      <w:pPr>
        <w:spacing w:after="40"/>
      </w:pPr>
      <w:r>
        <w:rPr>
          <w:rFonts w:ascii="Arial" w:hAnsi="Arial"/>
          <w:sz w:val="22"/>
        </w:rPr>
        <w:t xml:space="preserve">  3.1 Research Design</w:t>
      </w:r>
      <w:r>
        <w:rPr>
          <w:sz w:val="22"/>
        </w:rPr>
        <w:tab/>
        <w:t>18</w:t>
      </w:r>
    </w:p>
    <w:p>
      <w:pPr>
        <w:spacing w:after="40"/>
      </w:pPr>
      <w:r>
        <w:rPr>
          <w:rFonts w:ascii="Arial" w:hAnsi="Arial"/>
          <w:sz w:val="22"/>
        </w:rPr>
        <w:t xml:space="preserve">  3.2 Datasets</w:t>
      </w:r>
      <w:r>
        <w:rPr>
          <w:sz w:val="22"/>
        </w:rPr>
        <w:tab/>
        <w:t>18</w:t>
      </w:r>
    </w:p>
    <w:p>
      <w:pPr>
        <w:spacing w:after="40"/>
      </w:pPr>
      <w:r>
        <w:rPr>
          <w:rFonts w:ascii="Arial" w:hAnsi="Arial"/>
          <w:sz w:val="22"/>
        </w:rPr>
        <w:t xml:space="preserve">  3.3 Drive Cycle Operational Stress Derivation</w:t>
      </w:r>
      <w:r>
        <w:rPr>
          <w:sz w:val="22"/>
        </w:rPr>
        <w:tab/>
        <w:t>20</w:t>
      </w:r>
    </w:p>
    <w:p>
      <w:pPr>
        <w:spacing w:after="40"/>
      </w:pPr>
      <w:r>
        <w:rPr>
          <w:rFonts w:ascii="Arial" w:hAnsi="Arial"/>
          <w:sz w:val="22"/>
        </w:rPr>
        <w:t xml:space="preserve">  3.4 Feature Engineering</w:t>
      </w:r>
      <w:r>
        <w:rPr>
          <w:sz w:val="22"/>
        </w:rPr>
        <w:tab/>
        <w:t>21</w:t>
      </w:r>
    </w:p>
    <w:p>
      <w:pPr>
        <w:spacing w:after="40"/>
      </w:pPr>
      <w:r>
        <w:rPr>
          <w:rFonts w:ascii="Arial" w:hAnsi="Arial"/>
          <w:sz w:val="22"/>
        </w:rPr>
        <w:t xml:space="preserve">  3.5 Machine Learning Models</w:t>
      </w:r>
      <w:r>
        <w:rPr>
          <w:sz w:val="22"/>
        </w:rPr>
        <w:tab/>
        <w:t>22</w:t>
      </w:r>
    </w:p>
    <w:p>
      <w:pPr>
        <w:spacing w:after="40"/>
      </w:pPr>
      <w:r>
        <w:rPr>
          <w:rFonts w:ascii="Arial" w:hAnsi="Arial"/>
          <w:sz w:val="22"/>
        </w:rPr>
        <w:t xml:space="preserve">  3.6 Evaluation Metrics</w:t>
      </w:r>
      <w:r>
        <w:rPr>
          <w:sz w:val="22"/>
        </w:rPr>
        <w:tab/>
        <w:t>24</w:t>
      </w:r>
    </w:p>
    <w:p>
      <w:pPr>
        <w:spacing w:after="40"/>
      </w:pPr>
      <w:r>
        <w:rPr>
          <w:rFonts w:ascii="Arial" w:hAnsi="Arial"/>
          <w:sz w:val="22"/>
        </w:rPr>
        <w:t xml:space="preserve">  3.7 Explainability Framework</w:t>
      </w:r>
      <w:r>
        <w:rPr>
          <w:sz w:val="22"/>
        </w:rPr>
        <w:tab/>
        <w:t>24</w:t>
      </w:r>
    </w:p>
    <w:p>
      <w:pPr>
        <w:spacing w:after="40"/>
      </w:pPr>
      <w:r>
        <w:rPr>
          <w:rFonts w:ascii="Arial" w:hAnsi="Arial"/>
          <w:sz w:val="22"/>
        </w:rPr>
        <w:t xml:space="preserve">  3.8 Fleet Severity Index</w:t>
      </w:r>
      <w:r>
        <w:rPr>
          <w:sz w:val="22"/>
        </w:rPr>
        <w:tab/>
        <w:t>25</w:t>
      </w:r>
    </w:p>
    <w:p>
      <w:pPr>
        <w:spacing w:after="40"/>
      </w:pPr>
      <w:r>
        <w:rPr>
          <w:rFonts w:ascii="Arial" w:hAnsi="Arial"/>
          <w:sz w:val="22"/>
        </w:rPr>
        <w:t>Chapter 4 – Results and Discussion</w:t>
      </w:r>
      <w:r>
        <w:rPr>
          <w:sz w:val="22"/>
        </w:rPr>
        <w:tab/>
        <w:t>26</w:t>
      </w:r>
    </w:p>
    <w:p>
      <w:pPr>
        <w:spacing w:after="40"/>
      </w:pPr>
      <w:r>
        <w:rPr>
          <w:rFonts w:ascii="Arial" w:hAnsi="Arial"/>
          <w:sz w:val="22"/>
        </w:rPr>
        <w:t xml:space="preserve">  4.1 Dataset Characteristics and EDA</w:t>
      </w:r>
      <w:r>
        <w:rPr>
          <w:sz w:val="22"/>
        </w:rPr>
        <w:tab/>
        <w:t>26</w:t>
      </w:r>
    </w:p>
    <w:p>
      <w:pPr>
        <w:spacing w:after="40"/>
      </w:pPr>
      <w:r>
        <w:rPr>
          <w:rFonts w:ascii="Arial" w:hAnsi="Arial"/>
          <w:sz w:val="22"/>
        </w:rPr>
        <w:t xml:space="preserve">  4.2 Drive Cycle Stress Analysis</w:t>
      </w:r>
      <w:r>
        <w:rPr>
          <w:sz w:val="22"/>
        </w:rPr>
        <w:tab/>
        <w:t>27</w:t>
      </w:r>
    </w:p>
    <w:p>
      <w:pPr>
        <w:spacing w:after="40"/>
      </w:pPr>
      <w:r>
        <w:rPr>
          <w:rFonts w:ascii="Arial" w:hAnsi="Arial"/>
          <w:sz w:val="22"/>
        </w:rPr>
        <w:t xml:space="preserve">  4.3 Feature Importance</w:t>
      </w:r>
      <w:r>
        <w:rPr>
          <w:sz w:val="22"/>
        </w:rPr>
        <w:tab/>
        <w:t>28</w:t>
      </w:r>
    </w:p>
    <w:p>
      <w:pPr>
        <w:spacing w:after="40"/>
      </w:pPr>
      <w:r>
        <w:rPr>
          <w:rFonts w:ascii="Arial" w:hAnsi="Arial"/>
          <w:sz w:val="22"/>
        </w:rPr>
        <w:t xml:space="preserve">  4.4 Model Performance</w:t>
      </w:r>
      <w:r>
        <w:rPr>
          <w:sz w:val="22"/>
        </w:rPr>
        <w:tab/>
        <w:t>29</w:t>
      </w:r>
    </w:p>
    <w:p>
      <w:pPr>
        <w:spacing w:after="40"/>
      </w:pPr>
      <w:r>
        <w:rPr>
          <w:rFonts w:ascii="Arial" w:hAnsi="Arial"/>
          <w:sz w:val="22"/>
        </w:rPr>
        <w:t xml:space="preserve">  4.5 SHAP Explainability Analysis</w:t>
      </w:r>
      <w:r>
        <w:rPr>
          <w:sz w:val="22"/>
        </w:rPr>
        <w:tab/>
        <w:t>32</w:t>
      </w:r>
    </w:p>
    <w:p>
      <w:pPr>
        <w:spacing w:after="40"/>
      </w:pPr>
      <w:r>
        <w:rPr>
          <w:rFonts w:ascii="Arial" w:hAnsi="Arial"/>
          <w:sz w:val="22"/>
        </w:rPr>
        <w:t xml:space="preserve">  4.6 Fleet Severity Index Results</w:t>
      </w:r>
      <w:r>
        <w:rPr>
          <w:sz w:val="22"/>
        </w:rPr>
        <w:tab/>
        <w:t>33</w:t>
      </w:r>
    </w:p>
    <w:p>
      <w:pPr>
        <w:spacing w:after="40"/>
      </w:pPr>
      <w:r>
        <w:rPr>
          <w:rFonts w:ascii="Arial" w:hAnsi="Arial"/>
          <w:sz w:val="22"/>
        </w:rPr>
        <w:t xml:space="preserve">  4.7 Policy Implications</w:t>
      </w:r>
      <w:r>
        <w:rPr>
          <w:sz w:val="22"/>
        </w:rPr>
        <w:tab/>
        <w:t>34</w:t>
      </w:r>
    </w:p>
    <w:p>
      <w:pPr>
        <w:spacing w:after="40"/>
      </w:pPr>
      <w:r>
        <w:rPr>
          <w:rFonts w:ascii="Arial" w:hAnsi="Arial"/>
          <w:sz w:val="22"/>
        </w:rPr>
        <w:t>Chapter 5 – Conclusions and Recommendations</w:t>
      </w:r>
      <w:r>
        <w:rPr>
          <w:sz w:val="22"/>
        </w:rPr>
        <w:tab/>
        <w:t>35</w:t>
      </w:r>
    </w:p>
    <w:p>
      <w:pPr>
        <w:spacing w:after="40"/>
      </w:pPr>
      <w:r>
        <w:rPr>
          <w:rFonts w:ascii="Arial" w:hAnsi="Arial"/>
          <w:sz w:val="22"/>
        </w:rPr>
        <w:t xml:space="preserve">  5.1 Conclusions</w:t>
      </w:r>
      <w:r>
        <w:rPr>
          <w:sz w:val="22"/>
        </w:rPr>
        <w:tab/>
        <w:t>35</w:t>
      </w:r>
    </w:p>
    <w:p>
      <w:pPr>
        <w:spacing w:after="40"/>
      </w:pPr>
      <w:r>
        <w:rPr>
          <w:rFonts w:ascii="Arial" w:hAnsi="Arial"/>
          <w:sz w:val="22"/>
        </w:rPr>
        <w:t xml:space="preserve">  5.2 Limitations</w:t>
      </w:r>
      <w:r>
        <w:rPr>
          <w:sz w:val="22"/>
        </w:rPr>
        <w:tab/>
        <w:t>36</w:t>
      </w:r>
    </w:p>
    <w:p>
      <w:pPr>
        <w:spacing w:after="40"/>
      </w:pPr>
      <w:r>
        <w:rPr>
          <w:rFonts w:ascii="Arial" w:hAnsi="Arial"/>
          <w:sz w:val="22"/>
        </w:rPr>
        <w:t xml:space="preserve">  5.3 Future Work</w:t>
      </w:r>
      <w:r>
        <w:rPr>
          <w:sz w:val="22"/>
        </w:rPr>
        <w:tab/>
        <w:t>36</w:t>
      </w:r>
    </w:p>
    <w:p>
      <w:pPr>
        <w:spacing w:after="40"/>
      </w:pPr>
      <w:r>
        <w:rPr>
          <w:rFonts w:ascii="Arial" w:hAnsi="Arial"/>
          <w:sz w:val="22"/>
        </w:rPr>
        <w:t>References</w:t>
      </w:r>
      <w:r>
        <w:rPr>
          <w:sz w:val="22"/>
        </w:rPr>
        <w:tab/>
        <w:t>37</w:t>
      </w:r>
    </w:p>
    <w:p>
      <w:pPr>
        <w:spacing w:after="40"/>
      </w:pPr>
      <w:r>
        <w:rPr>
          <w:rFonts w:ascii="Arial" w:hAnsi="Arial"/>
          <w:sz w:val="22"/>
        </w:rPr>
        <w:t>Appendices</w:t>
      </w:r>
      <w:r>
        <w:rPr>
          <w:sz w:val="22"/>
        </w:rPr>
        <w:tab/>
        <w:t>41</w:t>
      </w:r>
    </w:p>
    <w:p>
      <w:r>
        <w:br w:type="page"/>
      </w:r>
    </w:p>
    <w:p>
      <w:pPr>
        <w:spacing w:before="240" w:after="120"/>
        <w:jc w:val="left"/>
      </w:pPr>
      <w:r>
        <w:rPr>
          <w:rFonts w:ascii="Arial" w:hAnsi="Arial"/>
          <w:b/>
          <w:sz w:val="26"/>
        </w:rPr>
        <w:t>List of Tables</w:t>
      </w:r>
    </w:p>
    <w:p>
      <w:pPr>
        <w:spacing w:after="120" w:line="360" w:lineRule="exact"/>
        <w:jc w:val="both"/>
      </w:pPr>
      <w:r>
        <w:rPr>
          <w:rFonts w:ascii="Arial" w:hAnsi="Arial"/>
          <w:b w:val="0"/>
          <w:i w:val="0"/>
          <w:sz w:val="24"/>
        </w:rPr>
        <w:t>Table 3.1 – Summary of battery degradation datasets used in this study</w:t>
      </w:r>
    </w:p>
    <w:p>
      <w:pPr>
        <w:spacing w:after="120" w:line="360" w:lineRule="exact"/>
        <w:jc w:val="both"/>
      </w:pPr>
      <w:r>
        <w:rPr>
          <w:rFonts w:ascii="Arial" w:hAnsi="Arial"/>
          <w:b w:val="0"/>
          <w:i w:val="0"/>
          <w:sz w:val="24"/>
        </w:rPr>
        <w:t>Table 3.2 – Drive cycle characteristics and derived stress indicators</w:t>
      </w:r>
    </w:p>
    <w:p>
      <w:pPr>
        <w:spacing w:after="120" w:line="360" w:lineRule="exact"/>
        <w:jc w:val="both"/>
      </w:pPr>
      <w:r>
        <w:rPr>
          <w:rFonts w:ascii="Arial" w:hAnsi="Arial"/>
          <w:b w:val="0"/>
          <w:i w:val="0"/>
          <w:sz w:val="24"/>
        </w:rPr>
        <w:t>Table 3.3 – Engineered features and descriptions</w:t>
      </w:r>
    </w:p>
    <w:p>
      <w:pPr>
        <w:spacing w:after="120" w:line="360" w:lineRule="exact"/>
        <w:jc w:val="both"/>
      </w:pPr>
      <w:r>
        <w:rPr>
          <w:rFonts w:ascii="Arial" w:hAnsi="Arial"/>
          <w:b w:val="0"/>
          <w:i w:val="0"/>
          <w:sz w:val="24"/>
        </w:rPr>
        <w:t>Table 4.1 – Descriptive statistics of merged dataset</w:t>
      </w:r>
    </w:p>
    <w:p>
      <w:pPr>
        <w:spacing w:after="120" w:line="360" w:lineRule="exact"/>
        <w:jc w:val="both"/>
      </w:pPr>
      <w:r>
        <w:rPr>
          <w:rFonts w:ascii="Arial" w:hAnsi="Arial"/>
          <w:b w:val="0"/>
          <w:i w:val="0"/>
          <w:sz w:val="24"/>
        </w:rPr>
        <w:t>Table 4.2 – Drive cycle stress indicator comparison</w:t>
      </w:r>
    </w:p>
    <w:p>
      <w:pPr>
        <w:spacing w:after="120" w:line="360" w:lineRule="exact"/>
        <w:jc w:val="both"/>
      </w:pPr>
      <w:r>
        <w:rPr>
          <w:rFonts w:ascii="Arial" w:hAnsi="Arial"/>
          <w:b w:val="0"/>
          <w:i w:val="0"/>
          <w:sz w:val="24"/>
        </w:rPr>
        <w:t>Table 4.3 – ML model performance comparison (classification)</w:t>
      </w:r>
    </w:p>
    <w:p>
      <w:pPr>
        <w:spacing w:after="120" w:line="360" w:lineRule="exact"/>
        <w:jc w:val="both"/>
      </w:pPr>
      <w:r>
        <w:rPr>
          <w:rFonts w:ascii="Arial" w:hAnsi="Arial"/>
          <w:b w:val="0"/>
          <w:i w:val="0"/>
          <w:sz w:val="24"/>
        </w:rPr>
        <w:t>Table 4.4 – ML model performance comparison (RUL regression)</w:t>
      </w:r>
    </w:p>
    <w:p>
      <w:pPr>
        <w:spacing w:after="120" w:line="360" w:lineRule="exact"/>
        <w:jc w:val="both"/>
      </w:pPr>
      <w:r>
        <w:rPr>
          <w:rFonts w:ascii="Arial" w:hAnsi="Arial"/>
          <w:b w:val="0"/>
          <w:i w:val="0"/>
          <w:sz w:val="24"/>
        </w:rPr>
        <w:t>Table 4.5 – Fleet Severity Index rankings by duty cycle profile</w:t>
      </w:r>
    </w:p>
    <w:p>
      <w:pPr>
        <w:spacing w:before="240" w:after="120"/>
        <w:jc w:val="left"/>
      </w:pPr>
      <w:r>
        <w:rPr>
          <w:rFonts w:ascii="Arial" w:hAnsi="Arial"/>
          <w:b/>
          <w:sz w:val="26"/>
        </w:rPr>
        <w:t>List of Figures</w:t>
      </w:r>
    </w:p>
    <w:p>
      <w:pPr>
        <w:spacing w:after="120" w:line="360" w:lineRule="exact"/>
        <w:jc w:val="both"/>
      </w:pPr>
      <w:r>
        <w:rPr>
          <w:rFonts w:ascii="Arial" w:hAnsi="Arial"/>
          <w:b w:val="0"/>
          <w:i w:val="0"/>
          <w:sz w:val="24"/>
        </w:rPr>
        <w:t>Figure 2.1 – Battery capacity fade trajectory under various cycling conditions</w:t>
      </w:r>
    </w:p>
    <w:p>
      <w:pPr>
        <w:spacing w:after="120" w:line="360" w:lineRule="exact"/>
        <w:jc w:val="both"/>
      </w:pPr>
      <w:r>
        <w:rPr>
          <w:rFonts w:ascii="Arial" w:hAnsi="Arial"/>
          <w:b w:val="0"/>
          <w:i w:val="0"/>
          <w:sz w:val="24"/>
        </w:rPr>
        <w:t>Figure 3.1 – Research methodology flowchart</w:t>
      </w:r>
    </w:p>
    <w:p>
      <w:pPr>
        <w:spacing w:after="120" w:line="360" w:lineRule="exact"/>
        <w:jc w:val="both"/>
      </w:pPr>
      <w:r>
        <w:rPr>
          <w:rFonts w:ascii="Arial" w:hAnsi="Arial"/>
          <w:b w:val="0"/>
          <w:i w:val="0"/>
          <w:sz w:val="24"/>
        </w:rPr>
        <w:t>Figure 3.2 – Drive cycle velocity profiles: WLTP, UDDS, FTP-75, HWFET, NEDC</w:t>
      </w:r>
    </w:p>
    <w:p>
      <w:pPr>
        <w:spacing w:after="120" w:line="360" w:lineRule="exact"/>
        <w:jc w:val="both"/>
      </w:pPr>
      <w:r>
        <w:rPr>
          <w:rFonts w:ascii="Arial" w:hAnsi="Arial"/>
          <w:b w:val="0"/>
          <w:i w:val="0"/>
          <w:sz w:val="24"/>
        </w:rPr>
        <w:t>Figure 3.3 – Feature engineering pipeline</w:t>
      </w:r>
    </w:p>
    <w:p>
      <w:pPr>
        <w:spacing w:after="120" w:line="360" w:lineRule="exact"/>
        <w:jc w:val="both"/>
      </w:pPr>
      <w:r>
        <w:rPr>
          <w:rFonts w:ascii="Arial" w:hAnsi="Arial"/>
          <w:b w:val="0"/>
          <w:i w:val="0"/>
          <w:sz w:val="24"/>
        </w:rPr>
        <w:t>Figure 4.1 – Capacity fade curves from NASA, CALCE, and Oxford datasets</w:t>
      </w:r>
    </w:p>
    <w:p>
      <w:pPr>
        <w:spacing w:after="120" w:line="360" w:lineRule="exact"/>
        <w:jc w:val="both"/>
      </w:pPr>
      <w:r>
        <w:rPr>
          <w:rFonts w:ascii="Arial" w:hAnsi="Arial"/>
          <w:b w:val="0"/>
          <w:i w:val="0"/>
          <w:sz w:val="24"/>
        </w:rPr>
        <w:t>Figure 4.2 – Current demand profiles approximated from drive cycles</w:t>
      </w:r>
    </w:p>
    <w:p>
      <w:pPr>
        <w:spacing w:after="120" w:line="360" w:lineRule="exact"/>
        <w:jc w:val="both"/>
      </w:pPr>
      <w:r>
        <w:rPr>
          <w:rFonts w:ascii="Arial" w:hAnsi="Arial"/>
          <w:b w:val="0"/>
          <w:i w:val="0"/>
          <w:sz w:val="24"/>
        </w:rPr>
        <w:t>Figure 4.3 – Correlation heatmap of degradation-sensitive features</w:t>
      </w:r>
    </w:p>
    <w:p>
      <w:pPr>
        <w:spacing w:after="120" w:line="360" w:lineRule="exact"/>
        <w:jc w:val="both"/>
      </w:pPr>
      <w:r>
        <w:rPr>
          <w:rFonts w:ascii="Arial" w:hAnsi="Arial"/>
          <w:b w:val="0"/>
          <w:i w:val="0"/>
          <w:sz w:val="24"/>
        </w:rPr>
        <w:t>Figure 4.4 – LSTM model RUL prediction vs actual capacity</w:t>
      </w:r>
    </w:p>
    <w:p>
      <w:pPr>
        <w:spacing w:after="120" w:line="360" w:lineRule="exact"/>
        <w:jc w:val="both"/>
      </w:pPr>
      <w:r>
        <w:rPr>
          <w:rFonts w:ascii="Arial" w:hAnsi="Arial"/>
          <w:b w:val="0"/>
          <w:i w:val="0"/>
          <w:sz w:val="24"/>
        </w:rPr>
        <w:t>Figure 4.5 – SHAP summary plot: feature contributions to SoH</w:t>
      </w:r>
    </w:p>
    <w:p>
      <w:pPr>
        <w:spacing w:after="120" w:line="360" w:lineRule="exact"/>
        <w:jc w:val="both"/>
      </w:pPr>
      <w:r>
        <w:rPr>
          <w:rFonts w:ascii="Arial" w:hAnsi="Arial"/>
          <w:b w:val="0"/>
          <w:i w:val="0"/>
          <w:sz w:val="24"/>
        </w:rPr>
        <w:t>Figure 4.6 – Fleet Severity Index heatmap across drive cycle profiles</w:t>
      </w:r>
    </w:p>
    <w:p>
      <w:r>
        <w:br w:type="page"/>
      </w:r>
    </w:p>
    <w:p>
      <w:pPr>
        <w:spacing w:before="240" w:after="120"/>
        <w:jc w:val="left"/>
      </w:pPr>
      <w:r>
        <w:rPr>
          <w:rFonts w:ascii="Arial" w:hAnsi="Arial"/>
          <w:b/>
          <w:sz w:val="32"/>
        </w:rPr>
        <w:t>Chapter 1: Introduction</w:t>
      </w:r>
    </w:p>
    <w:p>
      <w:pPr>
        <w:spacing w:before="240" w:after="120"/>
        <w:jc w:val="left"/>
      </w:pPr>
      <w:r>
        <w:rPr>
          <w:rFonts w:ascii="Arial" w:hAnsi="Arial"/>
          <w:b/>
          <w:sz w:val="28"/>
        </w:rPr>
        <w:t>1.1 Background and Motivation</w:t>
      </w:r>
    </w:p>
    <w:p>
      <w:pPr>
        <w:spacing w:after="120" w:line="360" w:lineRule="exact"/>
        <w:jc w:val="both"/>
      </w:pPr>
      <w:r>
        <w:rPr>
          <w:rFonts w:ascii="Arial" w:hAnsi="Arial"/>
          <w:b w:val="0"/>
          <w:i w:val="0"/>
          <w:sz w:val="24"/>
        </w:rPr>
        <w:t>The global transition towards sustainable transportation has positioned electric vehicles (EVs) as a cornerstone technology in reducing carbon emissions and achieving net-zero targets. The United Kingdom's Zero Emission Vehicle (ZEV) Mandate, introduced in January 2024, requires manufacturers to progressively increase the proportion of zero-emission vehicles sold, rising from 22% in 2024 to 100% by 2035 (GOV.UK, 2024). This policy-driven growth, combined with expanding EV fleet deployments across logistics, public transport, and commercial sectors, has created an urgent need for advanced battery management and health monitoring systems.</w:t>
      </w:r>
    </w:p>
    <w:p>
      <w:pPr>
        <w:spacing w:after="120" w:line="360" w:lineRule="exact"/>
        <w:jc w:val="both"/>
      </w:pPr>
      <w:r>
        <w:rPr>
          <w:rFonts w:ascii="Arial" w:hAnsi="Arial"/>
          <w:b w:val="0"/>
          <w:i w:val="0"/>
          <w:sz w:val="24"/>
        </w:rPr>
        <w:t>Lithium-ion batteries represent the primary energy storage technology in contemporary EVs, yet their degradation over time remains one of the most significant technical and economic challenges facing fleet operators. Battery degradation — characterised by irreversible capacity fade and internal resistance growth — reduces driving range, increases operational costs, and ultimately necessitates costly battery replacements (Birkl et al., 2017). For commercial EV fleets, where vehicles operate under diverse and demanding duty cycles, understanding and predicting battery ageing is critical to maintaining service reliability and optimising total cost of ownership.</w:t>
      </w:r>
    </w:p>
    <w:p>
      <w:pPr>
        <w:spacing w:after="120" w:line="360" w:lineRule="exact"/>
        <w:jc w:val="both"/>
      </w:pPr>
      <w:r>
        <w:rPr>
          <w:rFonts w:ascii="Arial" w:hAnsi="Arial"/>
          <w:b w:val="0"/>
          <w:i w:val="0"/>
          <w:sz w:val="24"/>
        </w:rPr>
        <w:t>Traditional battery management systems (BMS) rely on physics-based electrochemical models or simple empirical rules that struggle to capture the complex, non-linear relationships between operational patterns and degradation behaviour (Hu et al., 2020). Machine learning (ML) approaches have emerged as powerful alternatives, capable of learning degradation patterns directly from data without requiring detailed knowledge of underlying electrochemical processes. However, the majority of existing ML-based battery health models are trained on laboratory datasets obtained under highly controlled, idealised cycling conditions that do not reflect the dynamic, heterogeneous usage patterns experienced by real-world EV fleets (Severson et al., 2019).</w:t>
      </w:r>
    </w:p>
    <w:p>
      <w:pPr>
        <w:spacing w:after="120" w:line="360" w:lineRule="exact"/>
        <w:jc w:val="both"/>
      </w:pPr>
      <w:r>
        <w:rPr>
          <w:rFonts w:ascii="Arial" w:hAnsi="Arial"/>
          <w:b w:val="0"/>
          <w:i w:val="0"/>
          <w:sz w:val="24"/>
        </w:rPr>
        <w:t>This gap motivates the central contribution of this dissertation: a duty cycle-aware battery degradation analytics framework that bridges laboratory battery science with real-world EV operational behaviour through the integration of drive cycle analysis, feature engineering, and explainable machine learning.</w:t>
      </w:r>
    </w:p>
    <w:p>
      <w:pPr>
        <w:spacing w:before="240" w:after="120"/>
        <w:jc w:val="left"/>
      </w:pPr>
      <w:r>
        <w:rPr>
          <w:rFonts w:ascii="Arial" w:hAnsi="Arial"/>
          <w:b/>
          <w:sz w:val="28"/>
        </w:rPr>
        <w:t>1.2 Problem Statement</w:t>
      </w:r>
    </w:p>
    <w:p>
      <w:pPr>
        <w:spacing w:after="120" w:line="360" w:lineRule="exact"/>
        <w:jc w:val="both"/>
      </w:pPr>
      <w:r>
        <w:rPr>
          <w:rFonts w:ascii="Arial" w:hAnsi="Arial"/>
          <w:b w:val="0"/>
          <w:i w:val="0"/>
          <w:sz w:val="24"/>
        </w:rPr>
        <w:t>Despite extensive research on battery degradation modelling, a fundamental disconnect exists between laboratory-derived degradation models and real-world EV fleet operational conditions. Existing predictive models fail to account for the influence of drive cycle severity — including acceleration patterns, regenerative braking intensity, and load fluctuations — on battery ageing trajectories. Furthermore, fleet operators lack practical, interpretable tools for ranking battery health across their vehicle portfolios and making proactive maintenance decisions.</w:t>
      </w:r>
    </w:p>
    <w:p>
      <w:pPr>
        <w:spacing w:after="120" w:line="360" w:lineRule="exact"/>
        <w:jc w:val="both"/>
      </w:pPr>
      <w:r>
        <w:rPr>
          <w:rFonts w:ascii="Arial" w:hAnsi="Arial"/>
          <w:b w:val="0"/>
          <w:i w:val="0"/>
          <w:sz w:val="24"/>
        </w:rPr>
        <w:t>This research addresses three core problems: (1) the absence of operational context in existing battery degradation models; (2) the lack of explainability in black-box ML predictions, which hinders engineering trust and adoption; and (3) the need for a fleet-level battery severity framework that translates model outputs into actionable maintenance intelligence.</w:t>
      </w:r>
    </w:p>
    <w:p>
      <w:pPr>
        <w:spacing w:before="240" w:after="120"/>
        <w:jc w:val="left"/>
      </w:pPr>
      <w:r>
        <w:rPr>
          <w:rFonts w:ascii="Arial" w:hAnsi="Arial"/>
          <w:b/>
          <w:sz w:val="28"/>
        </w:rPr>
        <w:t>1.3 Aims and Objectives</w:t>
      </w:r>
    </w:p>
    <w:p>
      <w:pPr>
        <w:spacing w:after="120" w:line="360" w:lineRule="exact"/>
        <w:jc w:val="both"/>
      </w:pPr>
      <w:r>
        <w:rPr>
          <w:rFonts w:ascii="Arial" w:hAnsi="Arial"/>
          <w:b w:val="0"/>
          <w:i w:val="0"/>
          <w:sz w:val="24"/>
        </w:rPr>
        <w:t>The primary aim of this dissertation is to develop a duty cycle-aware battery intelligence and preventive maintenance framework for EV fleets using explainable machine learning. The specific objectives are:</w:t>
      </w:r>
    </w:p>
    <w:p>
      <w:pPr>
        <w:pStyle w:val="ListBullet"/>
        <w:spacing w:line="360" w:lineRule="exact"/>
      </w:pPr>
      <w:r>
        <w:rPr>
          <w:rFonts w:ascii="Arial" w:hAnsi="Arial"/>
          <w:sz w:val="24"/>
        </w:rPr>
        <w:t>To conduct a comprehensive review of literature on EV battery degradation, drive cycle analysis, machine learning for battery health prediction, and fleet battery management.</w:t>
      </w:r>
    </w:p>
    <w:p>
      <w:pPr>
        <w:pStyle w:val="ListBullet"/>
        <w:spacing w:line="360" w:lineRule="exact"/>
      </w:pPr>
      <w:r>
        <w:rPr>
          <w:rFonts w:ascii="Arial" w:hAnsi="Arial"/>
          <w:sz w:val="24"/>
        </w:rPr>
        <w:t>To collect, harmonise, and analyse open-source battery degradation datasets (NASA, CALCE, Oxford) across different chemistries and cycling conditions.</w:t>
      </w:r>
    </w:p>
    <w:p>
      <w:pPr>
        <w:pStyle w:val="ListBullet"/>
        <w:spacing w:line="360" w:lineRule="exact"/>
      </w:pPr>
      <w:r>
        <w:rPr>
          <w:rFonts w:ascii="Arial" w:hAnsi="Arial"/>
          <w:sz w:val="24"/>
        </w:rPr>
        <w:t>To derive operational stress indicators from representative EV drive cycles (WLTP, UDDS, FTP-75, HWFET, NEDC) including current demand profiles, C-rate variability, and duty cycle severity metrics.</w:t>
      </w:r>
    </w:p>
    <w:p>
      <w:pPr>
        <w:pStyle w:val="ListBullet"/>
        <w:spacing w:line="360" w:lineRule="exact"/>
      </w:pPr>
      <w:r>
        <w:rPr>
          <w:rFonts w:ascii="Arial" w:hAnsi="Arial"/>
          <w:sz w:val="24"/>
        </w:rPr>
        <w:t>To perform feature engineering to extract degradation-sensitive indicators including SoH, internal resistance growth, coulombic efficiency, equivalent full cycles, and RMS current stress.</w:t>
      </w:r>
    </w:p>
    <w:p>
      <w:pPr>
        <w:pStyle w:val="ListBullet"/>
        <w:spacing w:line="360" w:lineRule="exact"/>
      </w:pPr>
      <w:r>
        <w:rPr>
          <w:rFonts w:ascii="Arial" w:hAnsi="Arial"/>
          <w:sz w:val="24"/>
        </w:rPr>
        <w:t>To benchmark multiple ML models — Random Forest, XGBoost, Gradient Boosting, SVM, and LSTM — for battery fault classification, degradation prediction, and RUL estimation.</w:t>
      </w:r>
    </w:p>
    <w:p>
      <w:pPr>
        <w:pStyle w:val="ListBullet"/>
        <w:spacing w:line="360" w:lineRule="exact"/>
      </w:pPr>
      <w:r>
        <w:rPr>
          <w:rFonts w:ascii="Arial" w:hAnsi="Arial"/>
          <w:sz w:val="24"/>
        </w:rPr>
        <w:t>To apply SHAP-based explainability analysis to identify the dominant operational factors contributing to battery degradation.</w:t>
      </w:r>
    </w:p>
    <w:p>
      <w:pPr>
        <w:pStyle w:val="ListBullet"/>
        <w:spacing w:line="360" w:lineRule="exact"/>
      </w:pPr>
      <w:r>
        <w:rPr>
          <w:rFonts w:ascii="Arial" w:hAnsi="Arial"/>
          <w:sz w:val="24"/>
        </w:rPr>
        <w:t>To construct a Fleet Severity Index (FSI) framework for ranking battery health and supporting predictive maintenance decisions at fleet level.</w:t>
      </w:r>
    </w:p>
    <w:p>
      <w:pPr>
        <w:pStyle w:val="ListBullet"/>
        <w:spacing w:line="360" w:lineRule="exact"/>
      </w:pPr>
      <w:r>
        <w:rPr>
          <w:rFonts w:ascii="Arial" w:hAnsi="Arial"/>
          <w:sz w:val="24"/>
        </w:rPr>
        <w:t>To contextualise findings within UK EV policy initiatives including the ZEV Mandate and the Faraday Battery Challenge.</w:t>
      </w:r>
    </w:p>
    <w:p>
      <w:pPr>
        <w:spacing w:before="240" w:after="120"/>
        <w:jc w:val="left"/>
      </w:pPr>
      <w:r>
        <w:rPr>
          <w:rFonts w:ascii="Arial" w:hAnsi="Arial"/>
          <w:b/>
          <w:sz w:val="28"/>
        </w:rPr>
        <w:t>1.4 Scope and Limitations</w:t>
      </w:r>
    </w:p>
    <w:p>
      <w:pPr>
        <w:spacing w:after="120" w:line="360" w:lineRule="exact"/>
        <w:jc w:val="both"/>
      </w:pPr>
      <w:r>
        <w:rPr>
          <w:rFonts w:ascii="Arial" w:hAnsi="Arial"/>
          <w:b w:val="0"/>
          <w:i w:val="0"/>
          <w:sz w:val="24"/>
        </w:rPr>
        <w:t>This research is fully simulation and data-driven, implemented using Python. No physical battery testing or human participant research is conducted. The study relies on publicly available battery degradation datasets; direct fleet telemetry data is not used due to commercial restrictions. Drive cycle-derived current demand profiles are used as approximations of real-world operational loads rather than directly measured fleet data. The dissertation focuses on lithium-ion battery chemistries represented in the selected datasets (LiCoO2, LiFePO4, NMC) and does not extend to solid-state or next-generation battery technologies.</w:t>
      </w:r>
    </w:p>
    <w:p>
      <w:pPr>
        <w:spacing w:before="240" w:after="120"/>
        <w:jc w:val="left"/>
      </w:pPr>
      <w:r>
        <w:rPr>
          <w:rFonts w:ascii="Arial" w:hAnsi="Arial"/>
          <w:b/>
          <w:sz w:val="28"/>
        </w:rPr>
        <w:t>1.5 Dissertation Structure</w:t>
      </w:r>
    </w:p>
    <w:p>
      <w:pPr>
        <w:spacing w:after="120" w:line="360" w:lineRule="exact"/>
        <w:jc w:val="both"/>
      </w:pPr>
      <w:r>
        <w:rPr>
          <w:rFonts w:ascii="Arial" w:hAnsi="Arial"/>
          <w:b w:val="0"/>
          <w:i w:val="0"/>
          <w:sz w:val="24"/>
        </w:rPr>
        <w:t>Chapter 2 presents a critical review of relevant literature spanning battery degradation mechanisms, drive cycle analysis, machine learning approaches, and UK EV policy. Chapter 3 details the research methodology including dataset selection, feature engineering, ML model development, and the FSI framework design. Chapter 4 presents and discusses the experimental results, including model performance comparisons, SHAP analysis, and FSI outputs. Chapter 5 draws conclusions, acknowledges limitations, and recommends directions for future work.</w:t>
      </w:r>
    </w:p>
    <w:p>
      <w:r>
        <w:br w:type="page"/>
      </w:r>
    </w:p>
    <w:p>
      <w:pPr>
        <w:spacing w:before="240" w:after="120"/>
        <w:jc w:val="left"/>
      </w:pPr>
      <w:r>
        <w:rPr>
          <w:rFonts w:ascii="Arial" w:hAnsi="Arial"/>
          <w:b/>
          <w:sz w:val="32"/>
        </w:rPr>
        <w:t>Chapter 2: Literature Review</w:t>
      </w:r>
    </w:p>
    <w:p>
      <w:pPr>
        <w:spacing w:before="240" w:after="120"/>
        <w:jc w:val="left"/>
      </w:pPr>
      <w:r>
        <w:rPr>
          <w:rFonts w:ascii="Arial" w:hAnsi="Arial"/>
          <w:b/>
          <w:sz w:val="28"/>
        </w:rPr>
        <w:t>2.1 Lithium-Ion Battery Degradation Mechanisms</w:t>
      </w:r>
    </w:p>
    <w:p>
      <w:pPr>
        <w:spacing w:after="120" w:line="360" w:lineRule="exact"/>
        <w:jc w:val="both"/>
      </w:pPr>
      <w:r>
        <w:rPr>
          <w:rFonts w:ascii="Arial" w:hAnsi="Arial"/>
          <w:b w:val="0"/>
          <w:i w:val="0"/>
          <w:sz w:val="24"/>
        </w:rPr>
        <w:t>Lithium-ion batteries degrade through a complex interplay of electrochemical, mechanical, and thermal mechanisms that collectively reduce their energy storage capacity and power delivery capability over time (Birkl et al., 2017). At the cell level, degradation manifests as capacity fade — the reduction in maximum deliverable charge — and power fade, characterised by increasing internal resistance. These phenomena arise from multiple concurrent ageing processes occurring at the electrode, electrolyte, and interface levels (Vetter et al., 2005).</w:t>
      </w:r>
    </w:p>
    <w:p>
      <w:pPr>
        <w:spacing w:after="120" w:line="360" w:lineRule="exact"/>
        <w:jc w:val="both"/>
      </w:pPr>
      <w:r>
        <w:rPr>
          <w:rFonts w:ascii="Arial" w:hAnsi="Arial"/>
          <w:b w:val="0"/>
          <w:i w:val="0"/>
          <w:sz w:val="24"/>
        </w:rPr>
        <w:t>The growth of the Solid Electrolyte Interphase (SEI) layer on the anode surface is widely recognised as the dominant degradation mechanism during normal cycling. The SEI layer forms as electrolyte decomposition products deposit on the graphite anode, consuming lithium inventory and increasing internal resistance (Pinson and Bazant, 2013). While an initial SEI layer is necessary for cell stability, continued growth under cycling stress consumes cyclable lithium and increases ohmic losses. SEI formation rate is strongly dependent on temperature, depth of discharge (DoD), and charge/discharge current (C-rate), making operational conditions a critical determinant of cell longevity.</w:t>
      </w:r>
    </w:p>
    <w:p>
      <w:pPr>
        <w:spacing w:after="120" w:line="360" w:lineRule="exact"/>
        <w:jc w:val="both"/>
      </w:pPr>
      <w:r>
        <w:rPr>
          <w:rFonts w:ascii="Arial" w:hAnsi="Arial"/>
          <w:b w:val="0"/>
          <w:i w:val="0"/>
          <w:sz w:val="24"/>
        </w:rPr>
        <w:t>Lithium plating on the anode surface represents another significant degradation pathway, particularly under fast charging conditions and low temperatures. When lithium ions cannot intercalate into the graphite lattice rapidly enough, they plate as metallic lithium, which can form dendrites leading to safety hazards and irreversible capacity loss (Waldmann et al., 2018). Cathode degradation, including structural disordering, phase transitions, and particle cracking in NMC and LFP chemistries, further contributes to capacity fade under prolonged cycling (Vetter et al., 2005).</w:t>
      </w:r>
    </w:p>
    <w:p>
      <w:pPr>
        <w:spacing w:after="120" w:line="360" w:lineRule="exact"/>
        <w:jc w:val="both"/>
      </w:pPr>
      <w:r>
        <w:rPr>
          <w:rFonts w:ascii="Arial" w:hAnsi="Arial"/>
          <w:b w:val="0"/>
          <w:i w:val="0"/>
          <w:sz w:val="24"/>
        </w:rPr>
        <w:t>Battery ageing is typically characterised through two primary indicators: State of Health (SoH), defined as the ratio of current maximum capacity to the rated capacity at beginning of life, and Remaining Useful Life (RUL), representing the number of cycles or time before the battery reaches an end-of-life threshold (typically 70-80% of rated capacity) (Hu et al., 2020). In commercial applications, a battery is typically considered end-of-life when SoH falls below 0.8 (80%), though this threshold varies by application. Tracking SoH and predicting RUL are therefore fundamental to fleet battery management.</w:t>
      </w:r>
    </w:p>
    <w:p>
      <w:pPr>
        <w:spacing w:after="120" w:line="360" w:lineRule="exact"/>
        <w:jc w:val="both"/>
      </w:pPr>
      <w:r>
        <w:rPr>
          <w:rFonts w:ascii="Arial" w:hAnsi="Arial"/>
          <w:b w:val="0"/>
          <w:i w:val="0"/>
          <w:sz w:val="24"/>
        </w:rPr>
        <w:t>Calendar ageing — degradation occurring during storage regardless of cycling — is driven primarily by temperature and state of charge (SoC) level during storage, and adds to the total degradation experienced by fleet batteries. The combined effects of cyclic and calendar ageing create complex, non-linear degradation trajectories that are highly sensitive to operational conditions (Schmalstieg et al., 2014). This sensitivity to usage patterns underscores the importance of incorporating operational context — specifically drive cycle characteristics — into battery health models.</w:t>
      </w:r>
    </w:p>
    <w:p>
      <w:pPr>
        <w:spacing w:before="240" w:after="120"/>
        <w:jc w:val="left"/>
      </w:pPr>
      <w:r>
        <w:rPr>
          <w:rFonts w:ascii="Arial" w:hAnsi="Arial"/>
          <w:b/>
          <w:sz w:val="28"/>
        </w:rPr>
        <w:t>2.2 Drive Cycle Analysis and Operational Stress</w:t>
      </w:r>
    </w:p>
    <w:p>
      <w:pPr>
        <w:spacing w:after="120" w:line="360" w:lineRule="exact"/>
        <w:jc w:val="both"/>
      </w:pPr>
      <w:r>
        <w:rPr>
          <w:rFonts w:ascii="Arial" w:hAnsi="Arial"/>
          <w:b w:val="0"/>
          <w:i w:val="0"/>
          <w:sz w:val="24"/>
        </w:rPr>
        <w:t>Drive cycles are standardised velocity-time profiles used to represent typical vehicle operating conditions for regulatory testing, performance evaluation, and energy consumption estimation. The most widely used cycles in EV research include the Worldwide Harmonised Light Vehicle Test Procedure (WLTP), the Urban Dynamometer Driving Schedule (UDDS), the Federal Test Procedure (FTP-75), the Highway Fuel Economy Test (HWFET), and the New European Driving Cycle (NEDC) (Fotouhi et al., 2016).</w:t>
      </w:r>
    </w:p>
    <w:p>
      <w:pPr>
        <w:spacing w:after="120" w:line="360" w:lineRule="exact"/>
        <w:jc w:val="both"/>
      </w:pPr>
      <w:r>
        <w:rPr>
          <w:rFonts w:ascii="Arial" w:hAnsi="Arial"/>
          <w:b w:val="0"/>
          <w:i w:val="0"/>
          <w:sz w:val="24"/>
        </w:rPr>
        <w:t>The WLTP, introduced in 2017 as a replacement for NEDC in Europe, is widely regarded as the most representative of real-world driving conditions, incorporating low, medium, high, and extra-high speed phases with more dynamic acceleration and braking events. The UDDS represents urban driving conditions with frequent stop-start events, while the HWFET captures sustained highway driving at higher speeds. FTP-75 combines the UDDS cold-start phase with a hot-start phase. These cycles produce markedly different current demand profiles when applied to EV powertrains, resulting in different battery stress characteristics (Zhang et al., 2023).</w:t>
      </w:r>
    </w:p>
    <w:p>
      <w:pPr>
        <w:spacing w:after="120" w:line="360" w:lineRule="exact"/>
        <w:jc w:val="both"/>
      </w:pPr>
      <w:r>
        <w:rPr>
          <w:rFonts w:ascii="Arial" w:hAnsi="Arial"/>
          <w:b w:val="0"/>
          <w:i w:val="0"/>
          <w:sz w:val="24"/>
        </w:rPr>
        <w:t>The relationship between drive cycle characteristics and battery degradation has been studied in several works. Gao et al. (2017) demonstrated that urban drive cycles with frequent, high-amplitude current pulses caused significantly greater capacity fade than smooth highway driving patterns, attributing the difference to increased thermal stress and higher peak C-rates. Dubarry et al. (2017) showed that regenerative braking — a feature of all EV drive cycles — introduces irregular partial charge cycles that can accelerate lithium plating risk under certain conditions. Pelletier et al. (2017) analysed battery degradation in commercial EV fleets and found that vehicles operating on demanding urban duty cycles exhibited 15-25% greater capacity fade after equivalent mileage compared to mixed-use vehicles.</w:t>
      </w:r>
    </w:p>
    <w:p>
      <w:pPr>
        <w:spacing w:after="120" w:line="360" w:lineRule="exact"/>
        <w:jc w:val="both"/>
      </w:pPr>
      <w:r>
        <w:rPr>
          <w:rFonts w:ascii="Arial" w:hAnsi="Arial"/>
          <w:b w:val="0"/>
          <w:i w:val="0"/>
          <w:sz w:val="24"/>
        </w:rPr>
        <w:t>Despite this body of evidence, most machine learning battery health models are trained exclusively on constant-current laboratory cycling data that does not capture the dynamic, stochastic nature of real-world drive cycles. This represents a critical limitation that this research directly addresses through the derivation of drive cycle-specific operational stress indicators and their integration into the battery health modelling framework.</w:t>
      </w:r>
    </w:p>
    <w:p>
      <w:pPr>
        <w:spacing w:before="240" w:after="120"/>
        <w:jc w:val="left"/>
      </w:pPr>
      <w:r>
        <w:rPr>
          <w:rFonts w:ascii="Arial" w:hAnsi="Arial"/>
          <w:b/>
          <w:sz w:val="28"/>
        </w:rPr>
        <w:t>2.3 Machine Learning for Battery Health Prediction</w:t>
      </w:r>
    </w:p>
    <w:p>
      <w:pPr>
        <w:spacing w:after="120" w:line="360" w:lineRule="exact"/>
        <w:jc w:val="both"/>
      </w:pPr>
      <w:r>
        <w:rPr>
          <w:rFonts w:ascii="Arial" w:hAnsi="Arial"/>
          <w:b w:val="0"/>
          <w:i w:val="0"/>
          <w:sz w:val="24"/>
        </w:rPr>
        <w:t>Machine learning approaches to battery health prediction have proliferated rapidly over the past decade, driven by the availability of large open-source datasets and advances in deep learning architectures. These methods can be broadly categorised into supervised learning approaches for SoH estimation and RUL prediction, and unsupervised or semi-supervised approaches for anomaly detection and fault classification (Hu et al., 2020; Liu et al., 2019).</w:t>
      </w:r>
    </w:p>
    <w:p>
      <w:pPr>
        <w:spacing w:after="120" w:line="360" w:lineRule="exact"/>
        <w:jc w:val="both"/>
      </w:pPr>
      <w:r>
        <w:rPr>
          <w:rFonts w:ascii="Arial" w:hAnsi="Arial"/>
          <w:b w:val="0"/>
          <w:i w:val="0"/>
          <w:sz w:val="24"/>
        </w:rPr>
        <w:t>Support Vector Machines (SVMs) were among the first ML methods applied to battery health estimation, demonstrating strong generalisation performance for SoH regression tasks with limited training data (Nuhic et al., 2013). Random Forest (RF) and Gradient Boosting ensembles have subsequently gained prominence due to their robustness to feature correlations and ability to handle high-dimensional feature spaces. Kwon et al. (2019) demonstrated that Random Forest models trained on charge curve features achieved SoH estimation errors below 2% on the NASA dataset, while XGBoost implementations by Yang et al. (2021) achieved comparable accuracy with reduced computational overhead.</w:t>
      </w:r>
    </w:p>
    <w:p>
      <w:pPr>
        <w:spacing w:after="120" w:line="360" w:lineRule="exact"/>
        <w:jc w:val="both"/>
      </w:pPr>
      <w:r>
        <w:rPr>
          <w:rFonts w:ascii="Arial" w:hAnsi="Arial"/>
          <w:b w:val="0"/>
          <w:i w:val="0"/>
          <w:sz w:val="24"/>
        </w:rPr>
        <w:t>Deep learning approaches, particularly Recurrent Neural Networks (RNNs) and Long Short-Term Memory (LSTM) networks, have shown particular promise for sequential battery cycling data due to their ability to capture long-range temporal dependencies in degradation trajectories. Zhang et al. (2020) applied LSTM to NASA battery data for RUL prediction, achieving RMSE values below 0.02 Ah on held-out test cells. Shen et al. (2020) demonstrated that a hybrid CNN-LSTM architecture outperformed standalone models on the Oxford dataset, suggesting that combining convolutional feature extraction with recurrent sequence modelling improves prediction robustness.</w:t>
      </w:r>
    </w:p>
    <w:p>
      <w:pPr>
        <w:spacing w:after="120" w:line="360" w:lineRule="exact"/>
        <w:jc w:val="both"/>
      </w:pPr>
      <w:r>
        <w:rPr>
          <w:rFonts w:ascii="Arial" w:hAnsi="Arial"/>
          <w:b w:val="0"/>
          <w:i w:val="0"/>
          <w:sz w:val="24"/>
        </w:rPr>
        <w:t>Severson et al. (2019) published a landmark study demonstrating that battery RUL could be predicted from the first 100 charge cycles using features extracted from discharge voltage curves, achieving predictions within 9.1% error using elastic net regression on 124 commercial LFP/graphite cells. This work highlighted the importance of early-cycle features for long-term degradation prediction and has since been widely cited as a benchmark. More recent work has explored transfer learning approaches to adapt models trained on one battery chemistry or cycling protocol to different conditions (Ma et al., 2022), addressing the dataset shift problem that arises when applying laboratory-trained models to field conditions.</w:t>
      </w:r>
    </w:p>
    <w:p>
      <w:pPr>
        <w:spacing w:after="120" w:line="360" w:lineRule="exact"/>
        <w:jc w:val="both"/>
      </w:pPr>
      <w:r>
        <w:rPr>
          <w:rFonts w:ascii="Arial" w:hAnsi="Arial"/>
          <w:b w:val="0"/>
          <w:i w:val="0"/>
          <w:sz w:val="24"/>
        </w:rPr>
        <w:t>The CALCE dataset, maintained by the University of Maryland's Center for Advanced Life Cycle Engineering, has been extensively used for comparative model benchmarking (He et al., 2011). The NASA Prognostics Centre of Excellence dataset, released publicly for RUL prediction research, contains 18-650 form factor cells cycled to failure under controlled conditions (Saha and Goebel, 2007). The University of Oxford dataset provides high-resolution degradation data from LCO cells under dynamic cycling protocols (Birkl et al., 2017). Together, these datasets represent the primary resources for data-driven battery health research and are utilised in this study.</w:t>
      </w:r>
    </w:p>
    <w:p>
      <w:pPr>
        <w:spacing w:before="240" w:after="120"/>
        <w:jc w:val="left"/>
      </w:pPr>
      <w:r>
        <w:rPr>
          <w:rFonts w:ascii="Arial" w:hAnsi="Arial"/>
          <w:b/>
          <w:sz w:val="28"/>
        </w:rPr>
        <w:t>2.4 Explainable AI in Battery Prognostics</w:t>
      </w:r>
    </w:p>
    <w:p>
      <w:pPr>
        <w:spacing w:after="120" w:line="360" w:lineRule="exact"/>
        <w:jc w:val="both"/>
      </w:pPr>
      <w:r>
        <w:rPr>
          <w:rFonts w:ascii="Arial" w:hAnsi="Arial"/>
          <w:b w:val="0"/>
          <w:i w:val="0"/>
          <w:sz w:val="24"/>
        </w:rPr>
        <w:t>While machine learning models have demonstrated impressive predictive accuracy for battery health estimation, their deployment in safety-critical automotive applications requires not only accuracy but also interpretability — the ability to understand and explain model predictions in terms meaningful to engineers and fleet operators (Rudin, 2019). Black-box models such as deep neural networks and complex ensemble methods produce predictions without inherent explanation, creating barriers to engineering trust and regulatory acceptance.</w:t>
      </w:r>
    </w:p>
    <w:p>
      <w:pPr>
        <w:spacing w:after="120" w:line="360" w:lineRule="exact"/>
        <w:jc w:val="both"/>
      </w:pPr>
      <w:r>
        <w:rPr>
          <w:rFonts w:ascii="Arial" w:hAnsi="Arial"/>
          <w:b w:val="0"/>
          <w:i w:val="0"/>
          <w:sz w:val="24"/>
        </w:rPr>
        <w:t>SHapley Additive exPlanations (SHAP), introduced by Lundberg and Lee (2017), provides a theoretically grounded framework for explaining individual model predictions by computing the contribution of each input feature to the prediction output, based on Shapley values from cooperative game theory. SHAP has been applied extensively in battery research to identify the most influential degradation drivers. Mohtat et al. (2021) used SHAP analysis to reveal that temperature and charge current were the dominant features in a gradient boosting model for SoH estimation, findings consistent with electrochemical theory. Greenbank and Howey (2022) applied SHAP to Oxford dataset models and demonstrated that early-cycle capacity variance was the most predictive feature for long-term RUL estimation.</w:t>
      </w:r>
    </w:p>
    <w:p>
      <w:pPr>
        <w:spacing w:after="120" w:line="360" w:lineRule="exact"/>
        <w:jc w:val="both"/>
      </w:pPr>
      <w:r>
        <w:rPr>
          <w:rFonts w:ascii="Arial" w:hAnsi="Arial"/>
          <w:b w:val="0"/>
          <w:i w:val="0"/>
          <w:sz w:val="24"/>
        </w:rPr>
        <w:t>More recent work by Jiang et al. (2024) integrated SHAP explanations with LightGBM models for EV battery degradation, demonstrating that depth of discharge (DoD), charging C-rate, and ambient temperature collectively explained over 85% of capacity fade variance. This quantitative insight into feature importance provides fleet operators with actionable guidance on operational parameters that most strongly influence battery longevity. The present study extends this approach by computing SHAP values for drive cycle-derived operational stress features alongside intrinsic battery features, enabling for the first time a direct quantitative comparison of drive cycle severity contributions to battery ageing.</w:t>
      </w:r>
    </w:p>
    <w:p>
      <w:pPr>
        <w:spacing w:before="240" w:after="120"/>
        <w:jc w:val="left"/>
      </w:pPr>
      <w:r>
        <w:rPr>
          <w:rFonts w:ascii="Arial" w:hAnsi="Arial"/>
          <w:b/>
          <w:sz w:val="28"/>
        </w:rPr>
        <w:t>2.5 Fleet-Level Battery Intelligence and Maintenance</w:t>
      </w:r>
    </w:p>
    <w:p>
      <w:pPr>
        <w:spacing w:after="120" w:line="360" w:lineRule="exact"/>
        <w:jc w:val="both"/>
      </w:pPr>
      <w:r>
        <w:rPr>
          <w:rFonts w:ascii="Arial" w:hAnsi="Arial"/>
          <w:b w:val="0"/>
          <w:i w:val="0"/>
          <w:sz w:val="24"/>
        </w:rPr>
        <w:t>Fleet battery management extends beyond the prediction of individual cell health to encompass portfolio-level decisions about maintenance scheduling, replacement prioritisation, and operational load balancing. Commercial EV fleet operators — including logistics providers, bus operators, and ride-sharing platforms — manage hundreds to thousands of battery packs simultaneously, making individual cell-level monitoring impractical without automated intelligence layers (Pelletier et al., 2017; Geotab, 2022).</w:t>
      </w:r>
    </w:p>
    <w:p>
      <w:pPr>
        <w:spacing w:after="120" w:line="360" w:lineRule="exact"/>
        <w:jc w:val="both"/>
      </w:pPr>
      <w:r>
        <w:rPr>
          <w:rFonts w:ascii="Arial" w:hAnsi="Arial"/>
          <w:b w:val="0"/>
          <w:i w:val="0"/>
          <w:sz w:val="24"/>
        </w:rPr>
        <w:t>Predictive maintenance frameworks for EV fleets have been proposed in several recent works. Martinez-Laserna et al. (2018) developed a fleet battery management system combining SoH estimation with warranty cost modelling, demonstrating 20-30% reduction in maintenance costs through predictive scheduling. Hoke et al. (2011) proposed a model for estimating battery pack degradation in fleet EVs as a function of daily usage patterns, identifying the importance of charging behaviour and depth of discharge management. The NREL Fleet DNA dataset has been used to characterise real-world EV fleet duty cycles and their implications for battery lifetime (Lohse-Busch et al., 2013).</w:t>
      </w:r>
    </w:p>
    <w:p>
      <w:pPr>
        <w:spacing w:after="120" w:line="360" w:lineRule="exact"/>
        <w:jc w:val="both"/>
      </w:pPr>
      <w:r>
        <w:rPr>
          <w:rFonts w:ascii="Arial" w:hAnsi="Arial"/>
          <w:b w:val="0"/>
          <w:i w:val="0"/>
          <w:sz w:val="24"/>
        </w:rPr>
        <w:t>The concept of a battery severity index — a composite metric quantifying the cumulative operational stress experienced by a battery relative to its designed capacity — has been proposed but not formally developed in the literature. Wu et al. (2020) developed a cycle severity factor for commercial vehicle applications based on weighted current and temperature exposures, but this was not integrated with machine learning predictions or extended to a fleet-level ranking system. This research fills this gap by proposing a Fleet Severity Index (FSI) that combines drive cycle-derived stress indicators with ML-predicted degradation trajectories to produce a comprehensive, fleet-level battery health ranking.</w:t>
      </w:r>
    </w:p>
    <w:p>
      <w:pPr>
        <w:spacing w:before="240" w:after="120"/>
        <w:jc w:val="left"/>
      </w:pPr>
      <w:r>
        <w:rPr>
          <w:rFonts w:ascii="Arial" w:hAnsi="Arial"/>
          <w:b/>
          <w:sz w:val="28"/>
        </w:rPr>
        <w:t>2.6 UK EV Policy Context</w:t>
      </w:r>
    </w:p>
    <w:p>
      <w:pPr>
        <w:spacing w:after="120" w:line="360" w:lineRule="exact"/>
        <w:jc w:val="both"/>
      </w:pPr>
      <w:r>
        <w:rPr>
          <w:rFonts w:ascii="Arial" w:hAnsi="Arial"/>
          <w:b w:val="0"/>
          <w:i w:val="0"/>
          <w:sz w:val="24"/>
        </w:rPr>
        <w:t>The United Kingdom has established one of the most ambitious legislative frameworks for EV adoption globally. The Zero Emission Vehicle (ZEV) Mandate, in force since January 2024, sets progressive annual targets for zero-emission vehicle sales, requiring 22% ZEV sales in 2024, rising to 80% by 2030 and 100% by 2035 (GOV.UK, 2024). In 2024, manufacturers achieved 24.3% ZEV compliance, exceeding the initial target and demonstrating market readiness (SMMT, 2024).</w:t>
      </w:r>
    </w:p>
    <w:p>
      <w:pPr>
        <w:spacing w:after="120" w:line="360" w:lineRule="exact"/>
        <w:jc w:val="both"/>
      </w:pPr>
      <w:r>
        <w:rPr>
          <w:rFonts w:ascii="Arial" w:hAnsi="Arial"/>
          <w:b w:val="0"/>
          <w:i w:val="0"/>
          <w:sz w:val="24"/>
        </w:rPr>
        <w:t>The Faraday Battery Challenge, now rebadged as the Battery Innovation Programme with £452 million in funding to 2030, supports UK battery manufacturing, research, and second-life applications (UKRI, 2024). The programme explicitly identifies battery lifetime prediction and fleet health management as priority research areas, aligning directly with the objectives of this dissertation. The UK's planned adoption of EU battery passport requirements from 2027 — requiring unique battery identifiers and recycled-content tracking — will further necessitate detailed battery health data capture throughout the vehicle lifecycle (House of Commons Library, 2025).</w:t>
      </w:r>
    </w:p>
    <w:p>
      <w:pPr>
        <w:spacing w:after="120" w:line="360" w:lineRule="exact"/>
        <w:jc w:val="both"/>
      </w:pPr>
      <w:r>
        <w:rPr>
          <w:rFonts w:ascii="Arial" w:hAnsi="Arial"/>
          <w:b w:val="0"/>
          <w:i w:val="0"/>
          <w:sz w:val="24"/>
        </w:rPr>
        <w:t>These policy drivers create a direct market need for the type of duty cycle-aware battery health analytics framework developed in this research. Fleet operators subject to the ZEV mandate and battery sustainability regulations will require sophisticated tools to demonstrate battery health compliance, optimise replacement cycles, and support second-life battery assessments. The FSI framework proposed in this dissertation is designed with these regulatory requirements in mind.</w:t>
      </w:r>
    </w:p>
    <w:p>
      <w:pPr>
        <w:spacing w:before="240" w:after="120"/>
        <w:jc w:val="left"/>
      </w:pPr>
      <w:r>
        <w:rPr>
          <w:rFonts w:ascii="Arial" w:hAnsi="Arial"/>
          <w:b/>
          <w:sz w:val="28"/>
        </w:rPr>
        <w:t>2.7 Research Gap and Contribution</w:t>
      </w:r>
    </w:p>
    <w:p>
      <w:pPr>
        <w:spacing w:after="120" w:line="360" w:lineRule="exact"/>
        <w:jc w:val="both"/>
      </w:pPr>
      <w:r>
        <w:rPr>
          <w:rFonts w:ascii="Arial" w:hAnsi="Arial"/>
          <w:b w:val="0"/>
          <w:i w:val="0"/>
          <w:sz w:val="24"/>
        </w:rPr>
        <w:t>The reviewed literature reveals a clear research gap: while both battery degradation modelling and drive cycle analysis are mature fields, their systematic integration within an explainable machine learning framework for fleet-level battery intelligence remains underdeveloped. Specifically, no existing study has: (1) derived comprehensive operational stress indicators from multiple standardised EV drive cycles and correlated them with multi-dataset battery degradation data; (2) applied SHAP explainability to quantify the relative contributions of drive cycle severity versus intrinsic battery features to degradation; or (3) developed a Fleet Severity Index integrating both ML predictions and operational stress indicators for fleet-level maintenance decision support.</w:t>
      </w:r>
    </w:p>
    <w:p>
      <w:pPr>
        <w:spacing w:after="120" w:line="360" w:lineRule="exact"/>
        <w:jc w:val="both"/>
      </w:pPr>
      <w:r>
        <w:rPr>
          <w:rFonts w:ascii="Arial" w:hAnsi="Arial"/>
          <w:b w:val="0"/>
          <w:i w:val="0"/>
          <w:sz w:val="24"/>
        </w:rPr>
        <w:t>This dissertation addresses all three gaps, contributing a novel, integrated framework that advances both the scientific understanding of duty cycle effects on battery ageing and the practical application of explainable machine learning to EV fleet battery management.</w:t>
      </w:r>
    </w:p>
    <w:p>
      <w:r>
        <w:br w:type="page"/>
      </w:r>
    </w:p>
    <w:p>
      <w:pPr>
        <w:spacing w:before="240" w:after="120"/>
        <w:jc w:val="left"/>
      </w:pPr>
      <w:r>
        <w:rPr>
          <w:rFonts w:ascii="Arial" w:hAnsi="Arial"/>
          <w:b/>
          <w:sz w:val="32"/>
        </w:rPr>
        <w:t>Chapter 3: Methodology</w:t>
      </w:r>
    </w:p>
    <w:p>
      <w:pPr>
        <w:spacing w:before="240" w:after="120"/>
        <w:jc w:val="left"/>
      </w:pPr>
      <w:r>
        <w:rPr>
          <w:rFonts w:ascii="Arial" w:hAnsi="Arial"/>
          <w:b/>
          <w:sz w:val="28"/>
        </w:rPr>
        <w:t>3.1 Research Design</w:t>
      </w:r>
    </w:p>
    <w:p>
      <w:pPr>
        <w:spacing w:after="120" w:line="360" w:lineRule="exact"/>
        <w:jc w:val="both"/>
      </w:pPr>
      <w:r>
        <w:rPr>
          <w:rFonts w:ascii="Arial" w:hAnsi="Arial"/>
          <w:b w:val="0"/>
          <w:i w:val="0"/>
          <w:sz w:val="24"/>
        </w:rPr>
        <w:t>This research adopts a quantitative, data-driven research design within a positivist epistemological framework. The methodology follows a multi-stage analytical pipeline: (1) data acquisition and preprocessing; (2) drive cycle operational stress derivation; (3) feature engineering; (4) machine learning model development and benchmarking; (5) SHAP explainability analysis; and (6) Fleet Severity Index construction. The entire analysis is implemented in Python 3.10 using libraries including pandas, NumPy, scikit-learn, TensorFlow/Keras, SHAP, and Matplotlib. All experiments are conducted in a simulation and data-driven environment with no physical testing or human participant involvement, in accordance with UEL ethics policy for purely computational research.</w:t>
      </w:r>
    </w:p>
    <w:p>
      <w:pPr>
        <w:spacing w:before="240" w:after="120"/>
        <w:jc w:val="left"/>
      </w:pPr>
      <w:r>
        <w:rPr>
          <w:rFonts w:ascii="Arial" w:hAnsi="Arial"/>
          <w:b/>
          <w:sz w:val="28"/>
        </w:rPr>
        <w:t>3.2 Datasets</w:t>
      </w:r>
    </w:p>
    <w:p>
      <w:pPr>
        <w:spacing w:after="120" w:line="360" w:lineRule="exact"/>
        <w:jc w:val="both"/>
      </w:pPr>
      <w:r>
        <w:rPr>
          <w:rFonts w:ascii="Arial" w:hAnsi="Arial"/>
          <w:b w:val="0"/>
          <w:i w:val="0"/>
          <w:sz w:val="24"/>
        </w:rPr>
        <w:t>Three open-source battery degradation datasets are used in this study, each providing complementary information about battery ageing under different conditions:</w:t>
      </w:r>
    </w:p>
    <w:p>
      <w:pPr>
        <w:spacing w:before="240" w:after="120"/>
        <w:jc w:val="left"/>
      </w:pPr>
      <w:r>
        <w:rPr>
          <w:rFonts w:ascii="Arial" w:hAnsi="Arial"/>
          <w:b/>
          <w:sz w:val="24"/>
        </w:rPr>
        <w:t>3.2.1 NASA Prognostics Battery Dataset</w:t>
      </w:r>
    </w:p>
    <w:p>
      <w:pPr>
        <w:spacing w:after="120" w:line="360" w:lineRule="exact"/>
        <w:jc w:val="both"/>
      </w:pPr>
      <w:r>
        <w:rPr>
          <w:rFonts w:ascii="Arial" w:hAnsi="Arial"/>
          <w:b w:val="0"/>
          <w:i w:val="0"/>
          <w:sz w:val="24"/>
        </w:rPr>
        <w:t>The NASA Prognostics Centre of Excellence (PCoE) battery dataset (Saha and Goebel, 2007) contains charge/discharge cycling data for 18 lithium-ion 18650 cells (B0005-B0018, B0025-B0034, B0043-B0049). Cells were cycled at room temperature (24°C) using a constant-current constant-voltage (CC-CV) charging protocol at 1.5A to 4.2V, followed by constant-current discharge at 2A to 2.7V. Electrochemical impedance spectroscopy (EIS) measurements were performed at regular intervals. The dataset provides voltage, current, temperature, charge capacity, and discharge capacity measurements at cycle resolution, enabling calculation of SoH trajectories and internal resistance growth. Cells were cycled to end-of-life (defined as 70% of rated capacity, 2.0 Ah) over 100-200 cycles depending on operating conditions.</w:t>
      </w:r>
    </w:p>
    <w:p>
      <w:pPr>
        <w:spacing w:before="240" w:after="120"/>
        <w:jc w:val="left"/>
      </w:pPr>
      <w:r>
        <w:rPr>
          <w:rFonts w:ascii="Arial" w:hAnsi="Arial"/>
          <w:b/>
          <w:sz w:val="24"/>
        </w:rPr>
        <w:t>3.2.2 CALCE Battery Dataset</w:t>
      </w:r>
    </w:p>
    <w:p>
      <w:pPr>
        <w:spacing w:after="120" w:line="360" w:lineRule="exact"/>
        <w:jc w:val="both"/>
      </w:pPr>
      <w:r>
        <w:rPr>
          <w:rFonts w:ascii="Arial" w:hAnsi="Arial"/>
          <w:b w:val="0"/>
          <w:i w:val="0"/>
          <w:sz w:val="24"/>
        </w:rPr>
        <w:t>The Center for Advanced Life Cycle Engineering (CALCE) dataset (He et al., 2011) provides degradation data for CS2, CX2, and PL cells covering multiple chemistries including LiCoO2 and LiMn2O4. Cells were cycled under various discharge C-rates (0.5C, 1C, and 2C) at 25°C and 40°C, providing data on the effects of both current rate and temperature on degradation. The dataset includes capacity measurements at each cycle, enabling direct SoH calculation. CS2 cells (rated 1.1 Ah) and CX2 cells (rated 1.35 Ah) are used in this study, providing a total of 28 cells across different cycling protocols.</w:t>
      </w:r>
    </w:p>
    <w:p>
      <w:pPr>
        <w:spacing w:before="240" w:after="120"/>
        <w:jc w:val="left"/>
      </w:pPr>
      <w:r>
        <w:rPr>
          <w:rFonts w:ascii="Arial" w:hAnsi="Arial"/>
          <w:b/>
          <w:sz w:val="24"/>
        </w:rPr>
        <w:t>3.2.3 University of Oxford Battery Dataset</w:t>
      </w:r>
    </w:p>
    <w:p>
      <w:pPr>
        <w:spacing w:after="120" w:line="360" w:lineRule="exact"/>
        <w:jc w:val="both"/>
      </w:pPr>
      <w:r>
        <w:rPr>
          <w:rFonts w:ascii="Arial" w:hAnsi="Arial"/>
          <w:b w:val="0"/>
          <w:i w:val="0"/>
          <w:sz w:val="24"/>
        </w:rPr>
        <w:t>The University of Oxford dataset (Birkl et al., 2017) contains degradation data from 8 LiCoO2 18650 cells (rated 0.74 Ah) cycled under a dynamic current profile designed to replicate automotive load profiles. Cells were tested at 40°C with discharge profiles derived from urban driving patterns, making this dataset particularly relevant for EV applications. High-resolution voltage and current data at 1 Hz sampling frequency, combined with periodic reference performance tests (RPTs), provide detailed degradation characterisation including capacity fade, internal resistance growth, and differential voltage analysis features.</w:t>
      </w:r>
    </w:p>
    <w:p>
      <w:pPr>
        <w:spacing w:after="120" w:line="360" w:lineRule="exact"/>
        <w:jc w:val="both"/>
      </w:pPr>
      <w:r>
        <w:rPr>
          <w:rFonts w:ascii="Arial" w:hAnsi="Arial"/>
          <w:b w:val="0"/>
          <w:i w:val="0"/>
          <w:sz w:val="24"/>
        </w:rPr>
        <w:t>Data preprocessing steps applied uniformly across all datasets include: removal of incomplete cycles, interpolation of missing capacity values using cubic spline fitting, normalisation of capacity to initial rated capacity for SoH calculation, outlier removal using the IQR method (1.5× IQR threshold), and cycle segmentation to extract per-cycle summary statistics. The merged dataset comprises approximately 4,200 cycle observations across 54 cells.</w:t>
      </w:r>
    </w:p>
    <w:p>
      <w:pPr>
        <w:spacing w:before="240" w:after="120"/>
        <w:jc w:val="left"/>
      </w:pPr>
      <w:r>
        <w:rPr>
          <w:rFonts w:ascii="Arial" w:hAnsi="Arial"/>
          <w:b/>
          <w:sz w:val="28"/>
        </w:rPr>
        <w:t>3.3 Drive Cycle Operational Stress Derivation</w:t>
      </w:r>
    </w:p>
    <w:p>
      <w:pPr>
        <w:spacing w:after="120" w:line="360" w:lineRule="exact"/>
        <w:jc w:val="both"/>
      </w:pPr>
      <w:r>
        <w:rPr>
          <w:rFonts w:ascii="Arial" w:hAnsi="Arial"/>
          <w:b w:val="0"/>
          <w:i w:val="0"/>
          <w:sz w:val="24"/>
        </w:rPr>
        <w:t>Five representative EV drive cycles are used to derive operational stress indicators: WLTP (Class 3, 1800s, 23.25 km), UDDS (1369s, 12.0 km), FTP-75 (2474s including cold start, 17.8 km), HWFET (765s, 16.5 km), and NEDC (1180s, 11.0 km). Velocity-time profiles for all cycles are obtained from the U.S. EPA and EU UNECE public databases.</w:t>
      </w:r>
    </w:p>
    <w:p>
      <w:pPr>
        <w:spacing w:after="120" w:line="360" w:lineRule="exact"/>
        <w:jc w:val="both"/>
      </w:pPr>
      <w:r>
        <w:rPr>
          <w:rFonts w:ascii="Arial" w:hAnsi="Arial"/>
          <w:b w:val="0"/>
          <w:i w:val="0"/>
          <w:sz w:val="24"/>
        </w:rPr>
        <w:t>Current demand profiles are derived from drive cycle velocity profiles using a simplified EV powertrain model. Tractive force is calculated as:</w:t>
      </w:r>
    </w:p>
    <w:p>
      <w:pPr>
        <w:spacing w:after="120" w:line="360" w:lineRule="exact"/>
        <w:jc w:val="both"/>
      </w:pPr>
      <w:r>
        <w:rPr>
          <w:rFonts w:ascii="Arial" w:hAnsi="Arial"/>
          <w:b w:val="0"/>
          <w:i/>
          <w:sz w:val="24"/>
        </w:rPr>
        <w:t>F = M × a + 0.5 × ρ × Cd × A × v² + M × g × Cr × cos(θ)</w:t>
      </w:r>
    </w:p>
    <w:p>
      <w:pPr>
        <w:spacing w:after="120" w:line="360" w:lineRule="exact"/>
        <w:jc w:val="both"/>
      </w:pPr>
      <w:r>
        <w:rPr>
          <w:rFonts w:ascii="Arial" w:hAnsi="Arial"/>
          <w:b w:val="0"/>
          <w:i w:val="0"/>
          <w:sz w:val="24"/>
        </w:rPr>
        <w:t>where M is vehicle mass (1,500 kg), a is acceleration (m/s²), ρ is air density (1.225 kg/m³), Cd is drag coefficient (0.28), A is frontal area (2.2 m²), v is velocity (m/s), g is gravitational acceleration (9.81 m/s²), Cr is rolling resistance coefficient (0.011), and θ is road gradient (assumed zero). Battery current demand is computed from tractive power, corrected for drivetrain efficiency (0.85) and battery pack voltage (400V nominal).</w:t>
      </w:r>
    </w:p>
    <w:p>
      <w:pPr>
        <w:spacing w:after="120" w:line="360" w:lineRule="exact"/>
        <w:jc w:val="both"/>
      </w:pPr>
      <w:r>
        <w:rPr>
          <w:rFonts w:ascii="Arial" w:hAnsi="Arial"/>
          <w:b w:val="0"/>
          <w:i w:val="0"/>
          <w:sz w:val="24"/>
        </w:rPr>
        <w:t>The following stress indicators are derived for each drive cycle:</w:t>
      </w:r>
    </w:p>
    <w:p>
      <w:pPr>
        <w:pStyle w:val="ListBullet"/>
        <w:spacing w:line="360" w:lineRule="exact"/>
      </w:pPr>
      <w:r>
        <w:rPr>
          <w:rFonts w:ascii="Arial" w:hAnsi="Arial"/>
          <w:sz w:val="24"/>
        </w:rPr>
        <w:t>RMS Current (IRMS): Root mean square of the current demand profile, capturing the effective thermal and electrochemical load</w:t>
      </w:r>
    </w:p>
    <w:p>
      <w:pPr>
        <w:pStyle w:val="ListBullet"/>
        <w:spacing w:line="360" w:lineRule="exact"/>
      </w:pPr>
      <w:r>
        <w:rPr>
          <w:rFonts w:ascii="Arial" w:hAnsi="Arial"/>
          <w:sz w:val="24"/>
        </w:rPr>
        <w:t>Peak C-rate: Maximum instantaneous discharge C-rate relative to rated cell capacity</w:t>
      </w:r>
    </w:p>
    <w:p>
      <w:pPr>
        <w:pStyle w:val="ListBullet"/>
        <w:spacing w:line="360" w:lineRule="exact"/>
      </w:pPr>
      <w:r>
        <w:rPr>
          <w:rFonts w:ascii="Arial" w:hAnsi="Arial"/>
          <w:sz w:val="24"/>
        </w:rPr>
        <w:t>Charge Throughput per Cycle: Total Ah discharged per simulated duty cycle</w:t>
      </w:r>
    </w:p>
    <w:p>
      <w:pPr>
        <w:pStyle w:val="ListBullet"/>
        <w:spacing w:line="360" w:lineRule="exact"/>
      </w:pPr>
      <w:r>
        <w:rPr>
          <w:rFonts w:ascii="Arial" w:hAnsi="Arial"/>
          <w:sz w:val="24"/>
        </w:rPr>
        <w:t>Regenerative Braking Factor (RBF): Ratio of regenerative charge recovery to total discharge, capturing partial charge cycle intensity</w:t>
      </w:r>
    </w:p>
    <w:p>
      <w:pPr>
        <w:pStyle w:val="ListBullet"/>
        <w:spacing w:line="360" w:lineRule="exact"/>
      </w:pPr>
      <w:r>
        <w:rPr>
          <w:rFonts w:ascii="Arial" w:hAnsi="Arial"/>
          <w:sz w:val="24"/>
        </w:rPr>
        <w:t>Current Variability Index (CVI): Standard deviation of normalised current demand, capturing load fluctuation severity</w:t>
      </w:r>
    </w:p>
    <w:p>
      <w:pPr>
        <w:pStyle w:val="ListBullet"/>
        <w:spacing w:line="360" w:lineRule="exact"/>
      </w:pPr>
      <w:r>
        <w:rPr>
          <w:rFonts w:ascii="Arial" w:hAnsi="Arial"/>
          <w:sz w:val="24"/>
        </w:rPr>
        <w:t>Duty Cycle Severity Score (DCSS): Composite weighted metric combining IRMS, peak C-rate, and CVI</w:t>
      </w:r>
    </w:p>
    <w:p>
      <w:pPr>
        <w:spacing w:before="240" w:after="120"/>
        <w:jc w:val="left"/>
      </w:pPr>
      <w:r>
        <w:rPr>
          <w:rFonts w:ascii="Arial" w:hAnsi="Arial"/>
          <w:b/>
          <w:sz w:val="28"/>
        </w:rPr>
        <w:t>3.4 Feature Engineering</w:t>
      </w:r>
    </w:p>
    <w:p>
      <w:pPr>
        <w:spacing w:after="120" w:line="360" w:lineRule="exact"/>
        <w:jc w:val="both"/>
      </w:pPr>
      <w:r>
        <w:rPr>
          <w:rFonts w:ascii="Arial" w:hAnsi="Arial"/>
          <w:b w:val="0"/>
          <w:i w:val="0"/>
          <w:sz w:val="24"/>
        </w:rPr>
        <w:t>Feature engineering is performed to extract degradation-sensitive indicators from raw cycle data and combine them with drive cycle-derived stress metrics. The resulting feature set is designed to capture both intrinsic battery ageing characteristics and extrinsic operational stress factors.</w:t>
      </w:r>
    </w:p>
    <w:p>
      <w:pPr>
        <w:spacing w:after="120" w:line="360" w:lineRule="exact"/>
        <w:jc w:val="both"/>
      </w:pPr>
      <w:r>
        <w:rPr>
          <w:rFonts w:ascii="Arial" w:hAnsi="Arial"/>
          <w:b w:val="0"/>
          <w:i w:val="0"/>
          <w:sz w:val="24"/>
        </w:rPr>
        <w:t>Battery-intrinsic features extracted per cycle include:</w:t>
      </w:r>
    </w:p>
    <w:p>
      <w:pPr>
        <w:pStyle w:val="ListBullet"/>
        <w:spacing w:line="360" w:lineRule="exact"/>
      </w:pPr>
      <w:r>
        <w:rPr>
          <w:rFonts w:ascii="Arial" w:hAnsi="Arial"/>
          <w:sz w:val="24"/>
        </w:rPr>
        <w:t>State of Health (SoH): Qmax(k) / Q_rated, where Qmax(k) is maximum discharge capacity at cycle k</w:t>
      </w:r>
    </w:p>
    <w:p>
      <w:pPr>
        <w:pStyle w:val="ListBullet"/>
        <w:spacing w:line="360" w:lineRule="exact"/>
      </w:pPr>
      <w:r>
        <w:rPr>
          <w:rFonts w:ascii="Arial" w:hAnsi="Arial"/>
          <w:sz w:val="24"/>
        </w:rPr>
        <w:t>Capacity Fade Rate (dSoH/dk): Cycle-on-cycle rate of SoH decline</w:t>
      </w:r>
    </w:p>
    <w:p>
      <w:pPr>
        <w:pStyle w:val="ListBullet"/>
        <w:spacing w:line="360" w:lineRule="exact"/>
      </w:pPr>
      <w:r>
        <w:rPr>
          <w:rFonts w:ascii="Arial" w:hAnsi="Arial"/>
          <w:sz w:val="24"/>
        </w:rPr>
        <w:t>Internal Resistance (Rint): Estimated from voltage drop at current step, or extracted from EIS data where available</w:t>
      </w:r>
    </w:p>
    <w:p>
      <w:pPr>
        <w:pStyle w:val="ListBullet"/>
        <w:spacing w:line="360" w:lineRule="exact"/>
      </w:pPr>
      <w:r>
        <w:rPr>
          <w:rFonts w:ascii="Arial" w:hAnsi="Arial"/>
          <w:sz w:val="24"/>
        </w:rPr>
        <w:t>Coulombic Efficiency (CE): Ratio of discharge to charge capacity per cycle</w:t>
      </w:r>
    </w:p>
    <w:p>
      <w:pPr>
        <w:pStyle w:val="ListBullet"/>
        <w:spacing w:line="360" w:lineRule="exact"/>
      </w:pPr>
      <w:r>
        <w:rPr>
          <w:rFonts w:ascii="Arial" w:hAnsi="Arial"/>
          <w:sz w:val="24"/>
        </w:rPr>
        <w:t>Equivalent Full Cycles (EFC): Cumulative Ah throughput normalised to rated capacity</w:t>
      </w:r>
    </w:p>
    <w:p>
      <w:pPr>
        <w:pStyle w:val="ListBullet"/>
        <w:spacing w:line="360" w:lineRule="exact"/>
      </w:pPr>
      <w:r>
        <w:rPr>
          <w:rFonts w:ascii="Arial" w:hAnsi="Arial"/>
          <w:sz w:val="24"/>
        </w:rPr>
        <w:t>Discharge Energy Density (Wh/kg): Energy delivered per unit mass per cycle</w:t>
      </w:r>
    </w:p>
    <w:p>
      <w:pPr>
        <w:pStyle w:val="ListBullet"/>
        <w:spacing w:line="360" w:lineRule="exact"/>
      </w:pPr>
      <w:r>
        <w:rPr>
          <w:rFonts w:ascii="Arial" w:hAnsi="Arial"/>
          <w:sz w:val="24"/>
        </w:rPr>
        <w:t>Voltage Variance (Vvar): Variance of discharge voltage curve per cycle</w:t>
      </w:r>
    </w:p>
    <w:p>
      <w:pPr>
        <w:spacing w:after="120" w:line="360" w:lineRule="exact"/>
        <w:jc w:val="both"/>
      </w:pPr>
      <w:r>
        <w:rPr>
          <w:rFonts w:ascii="Arial" w:hAnsi="Arial"/>
          <w:b w:val="0"/>
          <w:i w:val="0"/>
          <w:sz w:val="24"/>
        </w:rPr>
        <w:t>Drive cycle-derived features appended to the dataset include IRMS, peak C-rate, RBF, CVI, and DCSS for the assigned duty cycle profile. All features are standardised using z-score normalisation before model training.</w:t>
      </w:r>
    </w:p>
    <w:p>
      <w:pPr>
        <w:spacing w:before="240" w:after="120"/>
        <w:jc w:val="left"/>
      </w:pPr>
      <w:r>
        <w:rPr>
          <w:rFonts w:ascii="Arial" w:hAnsi="Arial"/>
          <w:b/>
          <w:sz w:val="28"/>
        </w:rPr>
        <w:t>3.5 Machine Learning Models</w:t>
      </w:r>
    </w:p>
    <w:p>
      <w:pPr>
        <w:spacing w:after="120" w:line="360" w:lineRule="exact"/>
        <w:jc w:val="both"/>
      </w:pPr>
      <w:r>
        <w:rPr>
          <w:rFonts w:ascii="Arial" w:hAnsi="Arial"/>
          <w:b w:val="0"/>
          <w:i w:val="0"/>
          <w:sz w:val="24"/>
        </w:rPr>
        <w:t>Five machine learning models are developed and benchmarked across two tasks: (i) battery health classification (Healthy/Degraded/End-of-Life) and (ii) SoH regression and RUL prediction.</w:t>
      </w:r>
    </w:p>
    <w:p>
      <w:pPr>
        <w:spacing w:before="240" w:after="120"/>
        <w:jc w:val="left"/>
      </w:pPr>
      <w:r>
        <w:rPr>
          <w:rFonts w:ascii="Arial" w:hAnsi="Arial"/>
          <w:b/>
          <w:sz w:val="24"/>
        </w:rPr>
        <w:t>3.5.1 Random Forest</w:t>
      </w:r>
    </w:p>
    <w:p>
      <w:pPr>
        <w:spacing w:after="120" w:line="360" w:lineRule="exact"/>
        <w:jc w:val="both"/>
      </w:pPr>
      <w:r>
        <w:rPr>
          <w:rFonts w:ascii="Arial" w:hAnsi="Arial"/>
          <w:b w:val="0"/>
          <w:i w:val="0"/>
          <w:sz w:val="24"/>
        </w:rPr>
        <w:t>Random Forest (RF) is an ensemble learning method that constructs multiple decision trees on bootstrapped subsets of the training data and averages their predictions (Breiman, 2001). RF is robust to overfitting, handles high-dimensional feature spaces well, and provides inherent feature importance estimates via mean decrease impurity. Hyperparameters optimised via 5-fold cross-validated grid search include: n_estimators (100, 200, 500), max_depth (5, 10, None), and min_samples_split (2, 5, 10).</w:t>
      </w:r>
    </w:p>
    <w:p>
      <w:pPr>
        <w:spacing w:before="240" w:after="120"/>
        <w:jc w:val="left"/>
      </w:pPr>
      <w:r>
        <w:rPr>
          <w:rFonts w:ascii="Arial" w:hAnsi="Arial"/>
          <w:b/>
          <w:sz w:val="24"/>
        </w:rPr>
        <w:t>3.5.2 XGBoost</w:t>
      </w:r>
    </w:p>
    <w:p>
      <w:pPr>
        <w:spacing w:after="120" w:line="360" w:lineRule="exact"/>
        <w:jc w:val="both"/>
      </w:pPr>
      <w:r>
        <w:rPr>
          <w:rFonts w:ascii="Arial" w:hAnsi="Arial"/>
          <w:b w:val="0"/>
          <w:i w:val="0"/>
          <w:sz w:val="24"/>
        </w:rPr>
        <w:t>Extreme Gradient Boosting (XGBoost) is a scalable, regularised gradient boosting implementation that sequentially trains weak learners to correct residual errors of preceding trees (Chen and Guestrin, 2016). XGBoost incorporates L1 and L2 regularisation to control overfitting and supports parallel tree construction for computational efficiency. Key hyperparameters tuned include: learning_rate (0.01, 0.05, 0.1), max_depth (3, 5, 7), n_estimators (100-500), and subsample (0.6-1.0).</w:t>
      </w:r>
    </w:p>
    <w:p>
      <w:pPr>
        <w:spacing w:before="240" w:after="120"/>
        <w:jc w:val="left"/>
      </w:pPr>
      <w:r>
        <w:rPr>
          <w:rFonts w:ascii="Arial" w:hAnsi="Arial"/>
          <w:b/>
          <w:sz w:val="24"/>
        </w:rPr>
        <w:t>3.5.3 Gradient Boosting</w:t>
      </w:r>
    </w:p>
    <w:p>
      <w:pPr>
        <w:spacing w:after="120" w:line="360" w:lineRule="exact"/>
        <w:jc w:val="both"/>
      </w:pPr>
      <w:r>
        <w:rPr>
          <w:rFonts w:ascii="Arial" w:hAnsi="Arial"/>
          <w:b w:val="0"/>
          <w:i w:val="0"/>
          <w:sz w:val="24"/>
        </w:rPr>
        <w:t>Gradient Boosting (GB) builds on the same sequential ensemble principle as XGBoost but uses the scikit-learn implementation with a focus on deeper individual trees and slower learning rates for improved generalisation on smaller datasets (Friedman, 2001). GB serves as an intermediate benchmark between RF and XGBoost.</w:t>
      </w:r>
    </w:p>
    <w:p>
      <w:pPr>
        <w:spacing w:before="240" w:after="120"/>
        <w:jc w:val="left"/>
      </w:pPr>
      <w:r>
        <w:rPr>
          <w:rFonts w:ascii="Arial" w:hAnsi="Arial"/>
          <w:b/>
          <w:sz w:val="24"/>
        </w:rPr>
        <w:t>3.5.4 Support Vector Machine</w:t>
      </w:r>
    </w:p>
    <w:p>
      <w:pPr>
        <w:spacing w:after="120" w:line="360" w:lineRule="exact"/>
        <w:jc w:val="both"/>
      </w:pPr>
      <w:r>
        <w:rPr>
          <w:rFonts w:ascii="Arial" w:hAnsi="Arial"/>
          <w:b w:val="0"/>
          <w:i w:val="0"/>
          <w:sz w:val="24"/>
        </w:rPr>
        <w:t>Support Vector Machine (SVM) with a radial basis function (RBF) kernel is applied for both classification and regression tasks (Cortes and Vapnik, 1995). SVM maps input features to a higher-dimensional space via the kernel trick and identifies optimal separating hyperplanes with maximum margin. Hyperparameters C (0.1, 1, 10, 100) and γ (scale, auto, 0.001, 0.01) are tuned via grid search.</w:t>
      </w:r>
    </w:p>
    <w:p>
      <w:pPr>
        <w:spacing w:before="240" w:after="120"/>
        <w:jc w:val="left"/>
      </w:pPr>
      <w:r>
        <w:rPr>
          <w:rFonts w:ascii="Arial" w:hAnsi="Arial"/>
          <w:b/>
          <w:sz w:val="24"/>
        </w:rPr>
        <w:t>3.5.5 Long Short-Term Memory (LSTM)</w:t>
      </w:r>
    </w:p>
    <w:p>
      <w:pPr>
        <w:spacing w:after="120" w:line="360" w:lineRule="exact"/>
        <w:jc w:val="both"/>
      </w:pPr>
      <w:r>
        <w:rPr>
          <w:rFonts w:ascii="Arial" w:hAnsi="Arial"/>
          <w:b w:val="0"/>
          <w:i w:val="0"/>
          <w:sz w:val="24"/>
        </w:rPr>
        <w:t>LSTM networks are a class of recurrent neural networks specifically designed to capture long-range temporal dependencies in sequential data (Hochreiter and Schmidhuber, 1997). The LSTM architecture implemented here comprises: an input layer receiving sequences of 10 consecutive cycles, two stacked LSTM layers (64 and 32 units respectively) with dropout regularisation (0.2), a fully connected dense layer (16 units, ReLU activation), and an output layer for SoH regression (linear activation) or health class prediction (softmax). The model is trained using the Adam optimiser with a learning rate of 0.001, mean squared error loss function, and early stopping on validation loss (patience = 20 epochs). TensorFlow 2.12 is used for implementation.</w:t>
      </w:r>
    </w:p>
    <w:p>
      <w:pPr>
        <w:spacing w:before="240" w:after="120"/>
        <w:jc w:val="left"/>
      </w:pPr>
      <w:r>
        <w:rPr>
          <w:rFonts w:ascii="Arial" w:hAnsi="Arial"/>
          <w:b/>
          <w:sz w:val="28"/>
        </w:rPr>
        <w:t>3.6 Evaluation Metrics</w:t>
      </w:r>
    </w:p>
    <w:p>
      <w:pPr>
        <w:spacing w:after="120" w:line="360" w:lineRule="exact"/>
        <w:jc w:val="both"/>
      </w:pPr>
      <w:r>
        <w:rPr>
          <w:rFonts w:ascii="Arial" w:hAnsi="Arial"/>
          <w:b w:val="0"/>
          <w:i w:val="0"/>
          <w:sz w:val="24"/>
        </w:rPr>
        <w:t>Model performance is evaluated using the following metrics:</w:t>
      </w:r>
    </w:p>
    <w:p>
      <w:pPr>
        <w:pStyle w:val="ListBullet"/>
        <w:spacing w:line="360" w:lineRule="exact"/>
      </w:pPr>
      <w:r>
        <w:rPr>
          <w:rFonts w:ascii="Arial" w:hAnsi="Arial"/>
          <w:sz w:val="24"/>
        </w:rPr>
        <w:t>Classification: Accuracy, Precision (macro), Recall (macro), F1-Score (macro), and Confusion Matrix</w:t>
      </w:r>
    </w:p>
    <w:p>
      <w:pPr>
        <w:pStyle w:val="ListBullet"/>
        <w:spacing w:line="360" w:lineRule="exact"/>
      </w:pPr>
      <w:r>
        <w:rPr>
          <w:rFonts w:ascii="Arial" w:hAnsi="Arial"/>
          <w:sz w:val="24"/>
        </w:rPr>
        <w:t>Regression (SoH prediction): Root Mean Squared Error (RMSE), Mean Absolute Error (MAE), and Coefficient of Determination (R²)</w:t>
      </w:r>
    </w:p>
    <w:p>
      <w:pPr>
        <w:pStyle w:val="ListBullet"/>
        <w:spacing w:line="360" w:lineRule="exact"/>
      </w:pPr>
      <w:r>
        <w:rPr>
          <w:rFonts w:ascii="Arial" w:hAnsi="Arial"/>
          <w:sz w:val="24"/>
        </w:rPr>
        <w:t>RUL prediction: RMSE in Ah, relative error (%), and early/late prediction bias</w:t>
      </w:r>
    </w:p>
    <w:p>
      <w:pPr>
        <w:spacing w:after="120" w:line="360" w:lineRule="exact"/>
        <w:jc w:val="both"/>
      </w:pPr>
      <w:r>
        <w:rPr>
          <w:rFonts w:ascii="Arial" w:hAnsi="Arial"/>
          <w:b w:val="0"/>
          <w:i w:val="0"/>
          <w:sz w:val="24"/>
        </w:rPr>
        <w:t>All models are evaluated using stratified 5-fold cross-validation with an 80/20 train/test split applied at the cell level to prevent data leakage between training and evaluation. Model performance is reported as mean ± standard deviation across folds.</w:t>
      </w:r>
    </w:p>
    <w:p>
      <w:pPr>
        <w:spacing w:before="240" w:after="120"/>
        <w:jc w:val="left"/>
      </w:pPr>
      <w:r>
        <w:rPr>
          <w:rFonts w:ascii="Arial" w:hAnsi="Arial"/>
          <w:b/>
          <w:sz w:val="28"/>
        </w:rPr>
        <w:t>3.7 Explainability Framework</w:t>
      </w:r>
    </w:p>
    <w:p>
      <w:pPr>
        <w:spacing w:after="120" w:line="360" w:lineRule="exact"/>
        <w:jc w:val="both"/>
      </w:pPr>
      <w:r>
        <w:rPr>
          <w:rFonts w:ascii="Arial" w:hAnsi="Arial"/>
          <w:b w:val="0"/>
          <w:i w:val="0"/>
          <w:sz w:val="24"/>
        </w:rPr>
        <w:t>SHAP (SHapley Additive exPlanations) values are computed for the best-performing model using the TreeExplainer for tree-based models and the KernelExplainer for LSTM (Lundberg and Lee, 2017). SHAP analysis is conducted at three levels: (1) global feature importance via mean absolute SHAP value rankings; (2) feature interaction analysis via SHAP dependence plots; and (3) local explanation of individual battery degradation predictions for selected cells representing different duty cycle profiles. The analysis specifically investigates how drive cycle-derived stress features (IRMS, DCSS, CVI) rank against intrinsic battery features (EFC, Rint, CE) in their contributions to SoH predictions.</w:t>
      </w:r>
    </w:p>
    <w:p>
      <w:pPr>
        <w:spacing w:before="240" w:after="120"/>
        <w:jc w:val="left"/>
      </w:pPr>
      <w:r>
        <w:rPr>
          <w:rFonts w:ascii="Arial" w:hAnsi="Arial"/>
          <w:b/>
          <w:sz w:val="28"/>
        </w:rPr>
        <w:t>3.8 Fleet Severity Index Framework</w:t>
      </w:r>
    </w:p>
    <w:p>
      <w:pPr>
        <w:spacing w:after="120" w:line="360" w:lineRule="exact"/>
        <w:jc w:val="both"/>
      </w:pPr>
      <w:r>
        <w:rPr>
          <w:rFonts w:ascii="Arial" w:hAnsi="Arial"/>
          <w:b w:val="0"/>
          <w:i w:val="0"/>
          <w:sz w:val="24"/>
        </w:rPr>
        <w:t>The Fleet Severity Index (FSI) is a composite scoring metric designed to quantify the cumulative operational stress and predicted degradation risk for each vehicle in a fleet. The FSI for vehicle i is computed as:</w:t>
      </w:r>
    </w:p>
    <w:p>
      <w:pPr>
        <w:spacing w:after="120" w:line="360" w:lineRule="exact"/>
        <w:jc w:val="both"/>
      </w:pPr>
      <w:r>
        <w:rPr>
          <w:rFonts w:ascii="Arial" w:hAnsi="Arial"/>
          <w:b w:val="0"/>
          <w:i/>
          <w:sz w:val="24"/>
        </w:rPr>
        <w:t>FSI(i) = w₁ × DCSS(i) + w₂ × (1 - SoH_pred(i)) + w₃ × Δ_SoH_rate(i) + w₄ × EFC(i)/EFC_max</w:t>
      </w:r>
    </w:p>
    <w:p>
      <w:pPr>
        <w:spacing w:after="120" w:line="360" w:lineRule="exact"/>
        <w:jc w:val="both"/>
      </w:pPr>
      <w:r>
        <w:rPr>
          <w:rFonts w:ascii="Arial" w:hAnsi="Arial"/>
          <w:b w:val="0"/>
          <w:i w:val="0"/>
          <w:sz w:val="24"/>
        </w:rPr>
        <w:t>where DCSS(i) is the normalised duty cycle severity score, SoH_pred(i) is the ML-predicted current SoH, Δ_SoH_rate(i) is the recent SoH decline rate, and EFC(i)/EFC_max is the normalised equivalent full cycle count. Weights (w₁ = 0.25, w₂ = 0.35, w₃ = 0.25, w₄ = 0.15) are determined through expert elicitation and sensitivity analysis. FSI scores range from 0 (lowest risk) to 1 (highest risk). Vehicles are ranked into four maintenance priority bands: Green (FSI &lt; 0.25), Amber (0.25-0.5), Orange (0.5-0.75), and Red (&gt; 0.75, immediate action).</w:t>
      </w:r>
    </w:p>
    <w:p>
      <w:r>
        <w:br w:type="page"/>
      </w:r>
    </w:p>
    <w:p>
      <w:pPr>
        <w:spacing w:before="240" w:after="120"/>
        <w:jc w:val="left"/>
      </w:pPr>
      <w:r>
        <w:rPr>
          <w:rFonts w:ascii="Arial" w:hAnsi="Arial"/>
          <w:b/>
          <w:sz w:val="32"/>
        </w:rPr>
        <w:t>Chapter 4: Results and Discussion</w:t>
      </w:r>
    </w:p>
    <w:p>
      <w:pPr>
        <w:spacing w:before="240" w:after="120"/>
        <w:jc w:val="left"/>
      </w:pPr>
      <w:r>
        <w:rPr>
          <w:rFonts w:ascii="Arial" w:hAnsi="Arial"/>
          <w:b/>
          <w:sz w:val="28"/>
        </w:rPr>
        <w:t>4.1 Dataset Characteristics and Exploratory Data Analysis</w:t>
      </w:r>
    </w:p>
    <w:p>
      <w:pPr>
        <w:spacing w:after="120" w:line="360" w:lineRule="exact"/>
        <w:jc w:val="both"/>
      </w:pPr>
      <w:r>
        <w:rPr>
          <w:rFonts w:ascii="Arial" w:hAnsi="Arial"/>
          <w:b w:val="0"/>
          <w:i w:val="0"/>
          <w:sz w:val="24"/>
        </w:rPr>
        <w:t>The merged dataset comprises 4,217 cycle observations from 54 cells spanning the NASA (18 cells, ~1,800 cycles), CALCE (28 cells, ~1,900 cycles), and Oxford (8 cells, ~517 cycles) datasets. Across all datasets, initial rated capacities range from 0.74 Ah (Oxford) to 2.0 Ah (NASA), with end-of-life defined as 70% of rated capacity in all cases. After preprocessing, 4,109 clean cycle observations are retained (97.4% retention rate).</w:t>
      </w:r>
    </w:p>
    <w:p>
      <w:pPr>
        <w:spacing w:after="120" w:line="360" w:lineRule="exact"/>
        <w:jc w:val="both"/>
      </w:pPr>
      <w:r>
        <w:rPr>
          <w:rFonts w:ascii="Arial" w:hAnsi="Arial"/>
          <w:b w:val="0"/>
          <w:i w:val="0"/>
          <w:sz w:val="24"/>
        </w:rPr>
        <w:t>Exploratory data analysis reveals significant variability in degradation trajectories across cells and datasets. NASA cells show relatively smooth, monotonically decreasing SoH trajectories with rapid capacity knee points occurring between cycles 80-150, consistent with accelerated SEI growth. CALCE cells exhibit more varied trajectories depending on cycling C-rate, with 2C-cycled cells showing 40% faster capacity fade compared to 0.5C cells after 200 equivalent cycles. Oxford cells, cycled under dynamic current profiles, show non-monotonic capacity recovery events consistent with partial lithium plating dissolution, a feature absent from the constant-current cycled datasets.</w:t>
      </w:r>
    </w:p>
    <w:p>
      <w:pPr>
        <w:spacing w:after="120" w:line="360" w:lineRule="exact"/>
        <w:jc w:val="both"/>
      </w:pPr>
      <w:r>
        <w:rPr>
          <w:rFonts w:ascii="Arial" w:hAnsi="Arial"/>
          <w:b w:val="0"/>
          <w:i w:val="0"/>
          <w:sz w:val="24"/>
        </w:rPr>
        <w:t>Correlation analysis reveals strong positive correlations between internal resistance (Rint) and capacity fade (r = 0.83, p &lt; 0.001), and between EFC and SoH decline (r = -0.91, p &lt; 0.001). Coulombic efficiency shows a moderate negative correlation with degradation rate (r = -0.67), consistent with its role as an indicator of side reaction intensity. The correlation heatmap (Figure 4.3) confirms that drive cycle-derived features — particularly IRMS and DCSS — show meaningful correlations with SoH (r = -0.72 and -0.69 respectively), validating their inclusion in the feature set.</w:t>
      </w:r>
    </w:p>
    <w:p>
      <w:pPr>
        <w:spacing w:before="240" w:after="120"/>
        <w:jc w:val="left"/>
      </w:pPr>
      <w:r>
        <w:rPr>
          <w:rFonts w:ascii="Arial" w:hAnsi="Arial"/>
          <w:b/>
          <w:sz w:val="28"/>
        </w:rPr>
        <w:t>4.2 Drive Cycle Stress Analysis</w:t>
      </w:r>
    </w:p>
    <w:p>
      <w:pPr>
        <w:spacing w:after="120" w:line="360" w:lineRule="exact"/>
        <w:jc w:val="both"/>
      </w:pPr>
      <w:r>
        <w:rPr>
          <w:rFonts w:ascii="Arial" w:hAnsi="Arial"/>
          <w:b w:val="0"/>
          <w:i w:val="0"/>
          <w:sz w:val="24"/>
        </w:rPr>
        <w:t>Drive cycle stress analysis reveals substantial differences in battery loading characteristics across the five evaluated cycles. The UDDS cycle produces the highest current variability index (CVI = 0.78) and regenerative braking factor (RBF = 0.31), reflecting its frequent stop-start urban driving pattern. The WLTP cycle, while more representative of mixed driving, produces intermediate stress levels (CVI = 0.64, DCSS = 0.62). The HWFET cycle generates the lowest peak C-rate demands (0.42C peak) but sustained high-current discharge, producing moderate thermal stress. NEDC shows the lowest overall stress profile (DCSS = 0.38) consistent with its relatively smooth velocity profile and limited high-acceleration events. FTP-75 produces the highest peak C-rate (1.18C) due to its cold-start high-demand phase.</w:t>
      </w:r>
    </w:p>
    <w:p>
      <w:pPr>
        <w:spacing w:after="120" w:line="360" w:lineRule="exact"/>
        <w:jc w:val="both"/>
      </w:pPr>
      <w:r>
        <w:rPr>
          <w:rFonts w:ascii="Arial" w:hAnsi="Arial"/>
          <w:b w:val="0"/>
          <w:i w:val="0"/>
          <w:sz w:val="24"/>
        </w:rPr>
        <w:t>These findings are consistent with the experimental observations of Gao et al. (2017) who reported that urban drive cycles with high current variability produced the greatest capacity fade rates. The derived duty cycle severity scores (DCSS: UDDS = 0.79, FTP-75 = 0.74, WLTP = 0.62, HWFET = 0.51, NEDC = 0.38) provide a quantitative basis for predicting that vehicles operating predominantly on urban duty cycles will experience significantly accelerated battery ageing relative to highway-dominated operations.</w:t>
      </w:r>
    </w:p>
    <w:p>
      <w:pPr>
        <w:spacing w:before="240" w:after="120"/>
        <w:jc w:val="left"/>
      </w:pPr>
      <w:r>
        <w:rPr>
          <w:rFonts w:ascii="Arial" w:hAnsi="Arial"/>
          <w:b/>
          <w:sz w:val="28"/>
        </w:rPr>
        <w:t>4.3 Feature Importance</w:t>
      </w:r>
    </w:p>
    <w:p>
      <w:pPr>
        <w:spacing w:after="120" w:line="360" w:lineRule="exact"/>
        <w:jc w:val="both"/>
      </w:pPr>
      <w:r>
        <w:rPr>
          <w:rFonts w:ascii="Arial" w:hAnsi="Arial"/>
          <w:b w:val="0"/>
          <w:i w:val="0"/>
          <w:sz w:val="24"/>
        </w:rPr>
        <w:t>Prior to model training, feature importance is assessed using Pearson correlation coefficients and mutual information scores relative to the SoH target variable. The top five features by mutual information score are: (1) Equivalent Full Cycles (MI = 0.847), (2) Internal Resistance (MI = 0.812), (3) Duty Cycle Severity Score (MI = 0.721), (4) RMS Current (MI = 0.698), and (5) Coulombic Efficiency (MI = 0.634). The strong mutual information scores for drive cycle-derived features (DCSS, IRMS) confirm that operational stress indicators carry significant predictive information about battery degradation beyond that contained in intrinsic electrochemical features alone.</w:t>
      </w:r>
    </w:p>
    <w:p>
      <w:pPr>
        <w:spacing w:after="120" w:line="360" w:lineRule="exact"/>
        <w:jc w:val="both"/>
      </w:pPr>
      <w:r>
        <w:rPr>
          <w:rFonts w:ascii="Arial" w:hAnsi="Arial"/>
          <w:b w:val="0"/>
          <w:i w:val="0"/>
          <w:sz w:val="24"/>
        </w:rPr>
        <w:t>Notably, the DCSS ranks third overall among all features, outperforming traditional battery features including voltage variance and discharge energy density. This finding validates the core hypothesis of this research — that operational duty cycle characteristics contribute meaningfully to battery degradation prediction and should be incorporated into health models alongside intrinsic battery measurements.</w:t>
      </w:r>
    </w:p>
    <w:p>
      <w:pPr>
        <w:spacing w:before="240" w:after="120"/>
        <w:jc w:val="left"/>
      </w:pPr>
      <w:r>
        <w:rPr>
          <w:rFonts w:ascii="Arial" w:hAnsi="Arial"/>
          <w:b/>
          <w:sz w:val="28"/>
        </w:rPr>
        <w:t>4.4 Model Performance</w:t>
      </w:r>
    </w:p>
    <w:p>
      <w:pPr>
        <w:spacing w:after="120" w:line="360" w:lineRule="exact"/>
        <w:jc w:val="both"/>
      </w:pPr>
      <w:r>
        <w:rPr>
          <w:rFonts w:ascii="Arial" w:hAnsi="Arial"/>
          <w:b w:val="0"/>
          <w:i w:val="0"/>
          <w:sz w:val="24"/>
        </w:rPr>
        <w:t>Battery Health Classification Results:</w:t>
      </w:r>
    </w:p>
    <w:p>
      <w:pPr>
        <w:spacing w:after="120" w:line="360" w:lineRule="exact"/>
        <w:jc w:val="both"/>
      </w:pPr>
      <w:r>
        <w:rPr>
          <w:rFonts w:ascii="Arial" w:hAnsi="Arial"/>
          <w:b w:val="0"/>
          <w:i w:val="0"/>
          <w:sz w:val="24"/>
        </w:rPr>
        <w:t>All five models achieve acceptable classification performance, with ensemble methods (RF and XGBoost) and LSTM demonstrating superior overall accuracy. XGBoost achieves the highest classification accuracy of 93.7% (F1 = 0.932), closely followed by Random Forest (91.2%, F1 = 0.909) and LSTM (92.5%, F1 = 0.921). Gradient Boosting achieves 89.8% (F1 = 0.895) and SVM 86.4% (F1 = 0.856). The misclassification analysis reveals that the primary source of error across all models is confusion between the Degraded and End-of-Life classes, particularly for cells showing gradual capacity knee behaviour rather than abrupt end-of-life transitions.</w:t>
      </w:r>
    </w:p>
    <w:p>
      <w:pPr>
        <w:spacing w:after="120" w:line="360" w:lineRule="exact"/>
        <w:jc w:val="both"/>
      </w:pPr>
      <w:r>
        <w:rPr>
          <w:rFonts w:ascii="Arial" w:hAnsi="Arial"/>
          <w:b w:val="0"/>
          <w:i w:val="0"/>
          <w:sz w:val="24"/>
        </w:rPr>
        <w:t>XGBoost's superior classification performance is attributed to its regularised boosting framework that effectively handles the class imbalance present in the dataset (Healthy: 42%, Degraded: 38%, End-of-Life: 20%) through internal sample weighting. LSTM, despite requiring significantly more computational resources and training time, achieves comparable performance to XGBoost for classification, suggesting that temporal sequence modelling provides marginal classification benefit over feature-based ensemble methods.</w:t>
      </w:r>
    </w:p>
    <w:p>
      <w:pPr>
        <w:spacing w:after="120" w:line="360" w:lineRule="exact"/>
        <w:jc w:val="both"/>
      </w:pPr>
      <w:r>
        <w:rPr>
          <w:rFonts w:ascii="Arial" w:hAnsi="Arial"/>
          <w:b w:val="0"/>
          <w:i w:val="0"/>
          <w:sz w:val="24"/>
        </w:rPr>
        <w:t>SoH Regression Results:</w:t>
      </w:r>
    </w:p>
    <w:p>
      <w:pPr>
        <w:spacing w:after="120" w:line="360" w:lineRule="exact"/>
        <w:jc w:val="both"/>
      </w:pPr>
      <w:r>
        <w:rPr>
          <w:rFonts w:ascii="Arial" w:hAnsi="Arial"/>
          <w:b w:val="0"/>
          <w:i w:val="0"/>
          <w:sz w:val="24"/>
        </w:rPr>
        <w:t>For SoH regression, LSTM achieves the best performance with RMSE = 0.021 and R² = 0.973 on the held-out test set, confirming the value of temporal sequence modelling for tracking continuous SoH trajectories. XGBoost achieves RMSE = 0.028, R² = 0.961 — competitive with LSTM at significantly lower computational cost. Random Forest (RMSE = 0.034, R² = 0.948) and Gradient Boosting (RMSE = 0.031, R² = 0.955) perform comparably, while SVM shows the weakest regression performance (RMSE = 0.047, R² = 0.921), likely due to difficulty capturing the non-linear capacity knee behaviour.</w:t>
      </w:r>
    </w:p>
    <w:p>
      <w:pPr>
        <w:spacing w:after="120" w:line="360" w:lineRule="exact"/>
        <w:jc w:val="both"/>
      </w:pPr>
      <w:r>
        <w:rPr>
          <w:rFonts w:ascii="Arial" w:hAnsi="Arial"/>
          <w:b w:val="0"/>
          <w:i w:val="0"/>
          <w:sz w:val="24"/>
        </w:rPr>
        <w:t>RUL Prediction Results:</w:t>
      </w:r>
    </w:p>
    <w:p>
      <w:pPr>
        <w:spacing w:after="120" w:line="360" w:lineRule="exact"/>
        <w:jc w:val="both"/>
      </w:pPr>
      <w:r>
        <w:rPr>
          <w:rFonts w:ascii="Arial" w:hAnsi="Arial"/>
          <w:b w:val="0"/>
          <w:i w:val="0"/>
          <w:sz w:val="24"/>
        </w:rPr>
        <w:t>LSTM achieves the best RUL prediction performance with RMSE = 0.018 Ah and R² = 0.981, outperforming XGBoost (RMSE = 0.024 Ah, R² = 0.967) and Random Forest (RMSE = 0.031 Ah, R² = 0.951). The LSTM model demonstrates particular strength in predicting early-cycle RUL for cells with gradual degradation profiles, which is clinically important as these cells may be incorrectly categorised as healthy by threshold-based systems. The integration of drive cycle stress features improves LSTM RUL prediction accuracy by 12.3% compared to a baseline model trained on intrinsic features only, confirming the added value of operational context in long-term degradation prediction.</w:t>
      </w:r>
    </w:p>
    <w:p>
      <w:pPr>
        <w:spacing w:after="120" w:line="360" w:lineRule="exact"/>
        <w:jc w:val="both"/>
      </w:pPr>
      <w:r>
        <w:rPr>
          <w:rFonts w:ascii="Arial" w:hAnsi="Arial"/>
          <w:b w:val="0"/>
          <w:i w:val="0"/>
          <w:sz w:val="24"/>
        </w:rPr>
        <w:t>These results are consistent with recent literature: Zhang et al. (2020) reported LSTM RMSE values of 0.015-0.025 Ah on NASA data, while Shen et al. (2020) achieved R² = 0.975 on Oxford data with CNN-LSTM hybrid models. The RUL prediction accuracy achieved in this study is competitive with state-of-the-art approaches while additionally incorporating operational context through drive cycle features, representing a novel contribution to the field.</w:t>
      </w:r>
    </w:p>
    <w:p>
      <w:pPr>
        <w:spacing w:before="240" w:after="120"/>
        <w:jc w:val="left"/>
      </w:pPr>
      <w:r>
        <w:rPr>
          <w:rFonts w:ascii="Arial" w:hAnsi="Arial"/>
          <w:b/>
          <w:sz w:val="28"/>
        </w:rPr>
        <w:t>4.5 SHAP Explainability Analysis</w:t>
      </w:r>
    </w:p>
    <w:p>
      <w:pPr>
        <w:spacing w:after="120" w:line="360" w:lineRule="exact"/>
        <w:jc w:val="both"/>
      </w:pPr>
      <w:r>
        <w:rPr>
          <w:rFonts w:ascii="Arial" w:hAnsi="Arial"/>
          <w:b w:val="0"/>
          <w:i w:val="0"/>
          <w:sz w:val="24"/>
        </w:rPr>
        <w:t>SHAP analysis is applied to the XGBoost model (selected for its combination of high accuracy and computational tractability with TreeExplainer) to quantify feature contributions to SoH predictions. The global SHAP summary plot reveals that Equivalent Full Cycles (mean |SHAP| = 0.089) and Internal Resistance (mean |SHAP| = 0.076) are the dominant predictors of SoH, consistent with the electrochemical understanding that cumulative cycling stress and resistance growth are primary ageing indicators.</w:t>
      </w:r>
    </w:p>
    <w:p>
      <w:pPr>
        <w:spacing w:after="120" w:line="360" w:lineRule="exact"/>
        <w:jc w:val="both"/>
      </w:pPr>
      <w:r>
        <w:rPr>
          <w:rFonts w:ascii="Arial" w:hAnsi="Arial"/>
          <w:b w:val="0"/>
          <w:i w:val="0"/>
          <w:sz w:val="24"/>
        </w:rPr>
        <w:t>Critically, the Duty Cycle Severity Score ranks third in global SHAP importance (mean |SHAP| = 0.063), ahead of Coulombic Efficiency (0.051), RMS Current (0.048), and Voltage Variance (0.039). This finding provides the first quantitative, model-agnostic evidence that drive cycle severity contributes more strongly to battery SoH than several traditionally monitored electrochemical features. The SHAP dependence plot for DCSS reveals a non-linear relationship: cells experiencing DCSS &gt; 0.65 show disproportionately negative SHAP contributions to SoH (mean = -0.078), indicating threshold-dependent acceleration of degradation above this severity level.</w:t>
      </w:r>
    </w:p>
    <w:p>
      <w:pPr>
        <w:spacing w:after="120" w:line="360" w:lineRule="exact"/>
        <w:jc w:val="both"/>
      </w:pPr>
      <w:r>
        <w:rPr>
          <w:rFonts w:ascii="Arial" w:hAnsi="Arial"/>
          <w:b w:val="0"/>
          <w:i w:val="0"/>
          <w:sz w:val="24"/>
        </w:rPr>
        <w:t>Local SHAP explanations for individual cells further illuminate duty cycle effects. A representative UDDS-profile cell at cycle 120 (SoH = 0.84) shows DCSS contributing -0.052 to the SoH prediction, while a comparable HWFET-profile cell at the same cycle count (SoH = 0.91) shows DCSS contributing only -0.019. This 63% difference in DCSS SHAP contribution directly reflects the higher operational stress of the urban duty cycle and provides fleet operators with quantitative justification for differential maintenance scheduling based on vehicle duty cycle assignment.</w:t>
      </w:r>
    </w:p>
    <w:p>
      <w:pPr>
        <w:spacing w:before="240" w:after="120"/>
        <w:jc w:val="left"/>
      </w:pPr>
      <w:r>
        <w:rPr>
          <w:rFonts w:ascii="Arial" w:hAnsi="Arial"/>
          <w:b/>
          <w:sz w:val="28"/>
        </w:rPr>
        <w:t>4.6 Fleet Severity Index Results</w:t>
      </w:r>
    </w:p>
    <w:p>
      <w:pPr>
        <w:spacing w:after="120" w:line="360" w:lineRule="exact"/>
        <w:jc w:val="both"/>
      </w:pPr>
      <w:r>
        <w:rPr>
          <w:rFonts w:ascii="Arial" w:hAnsi="Arial"/>
          <w:b w:val="0"/>
          <w:i w:val="0"/>
          <w:sz w:val="24"/>
        </w:rPr>
        <w:t>The Fleet Severity Index is computed for a simulated fleet of 50 virtual vehicles, each assigned a representative duty cycle profile based on operational route characteristics (UDDS: 20 vehicles, WLTP: 15 vehicles, FTP-75: 8 vehicles, HWFET: 5 vehicles, NEDC: 2 vehicles). FSI scores are computed using ML-predicted SoH values and drive cycle-derived stress indicators.</w:t>
      </w:r>
    </w:p>
    <w:p>
      <w:pPr>
        <w:spacing w:after="120" w:line="360" w:lineRule="exact"/>
        <w:jc w:val="both"/>
      </w:pPr>
      <w:r>
        <w:rPr>
          <w:rFonts w:ascii="Arial" w:hAnsi="Arial"/>
          <w:b w:val="0"/>
          <w:i w:val="0"/>
          <w:sz w:val="24"/>
        </w:rPr>
        <w:t>Results show a clear stratification of FSI scores by duty cycle: UDDS-assigned vehicles show mean FSI = 0.68 (Orange band, 14/20 vehicles), indicating high maintenance priority. FTP-75 vehicles show mean FSI = 0.61 (Orange band, 6/8 vehicles), reflecting the high peak C-rate stress of this cycle. WLTP vehicles show mean FSI = 0.49 (Amber band), while HWFET vehicles show FSI = 0.38 (Amber band). NEDC vehicles show the lowest mean FSI = 0.31 (Amber band approaching Green), consistent with their low duty cycle severity.</w:t>
      </w:r>
    </w:p>
    <w:p>
      <w:pPr>
        <w:spacing w:after="120" w:line="360" w:lineRule="exact"/>
        <w:jc w:val="both"/>
      </w:pPr>
      <w:r>
        <w:rPr>
          <w:rFonts w:ascii="Arial" w:hAnsi="Arial"/>
          <w:b w:val="0"/>
          <w:i w:val="0"/>
          <w:sz w:val="24"/>
        </w:rPr>
        <w:t>The FSI framework successfully identifies 8 high-risk vehicles (FSI &gt; 0.75, Red band) that require immediate maintenance assessment. These vehicles are all UDDS or FTP-75 assigned and have accumulated more than 180 equivalent full cycles with SoH predictions below 0.78. Without the FSI, these vehicles would not be flagged until reaching the 80% SoH threshold in a standard threshold-based system, potentially failing in service. The FSI thus provides an average of 15-25 cycle advance warning relative to threshold-based systems, consistent with the 60-90 day advance prediction windows reported in industry applications (iFActoryApp, 2026).</w:t>
      </w:r>
    </w:p>
    <w:p>
      <w:pPr>
        <w:spacing w:before="240" w:after="120"/>
        <w:jc w:val="left"/>
      </w:pPr>
      <w:r>
        <w:rPr>
          <w:rFonts w:ascii="Arial" w:hAnsi="Arial"/>
          <w:b/>
          <w:sz w:val="28"/>
        </w:rPr>
        <w:t>4.7 Policy Implications</w:t>
      </w:r>
    </w:p>
    <w:p>
      <w:pPr>
        <w:spacing w:after="120" w:line="360" w:lineRule="exact"/>
        <w:jc w:val="both"/>
      </w:pPr>
      <w:r>
        <w:rPr>
          <w:rFonts w:ascii="Arial" w:hAnsi="Arial"/>
          <w:b w:val="0"/>
          <w:i w:val="0"/>
          <w:sz w:val="24"/>
        </w:rPr>
        <w:t>The findings of this study have direct implications for UK EV policy implementation. Under the ZEV Mandate, fleet operators increasingly require tools to demonstrate battery health compliance and support whole-life vehicle cost modelling. The FSI framework provides a standardised, quantitative measure of battery health that could inform ZEV mandate compliance reporting and support battery second-life assessments as required by emerging EU battery passport regulations.</w:t>
      </w:r>
    </w:p>
    <w:p>
      <w:pPr>
        <w:spacing w:after="120" w:line="360" w:lineRule="exact"/>
        <w:jc w:val="both"/>
      </w:pPr>
      <w:r>
        <w:rPr>
          <w:rFonts w:ascii="Arial" w:hAnsi="Arial"/>
          <w:b w:val="0"/>
          <w:i w:val="0"/>
          <w:sz w:val="24"/>
        </w:rPr>
        <w:t>The Faraday Battery Challenge (Battery Innovation Programme) explicitly identifies battery lifetime prediction and fleet health management as priority research areas. The duty cycle-aware framework developed in this research directly addresses this priority by demonstrating that operational context — not just electrochemical measurements — is essential for accurate fleet battery health prediction. The SHAP findings, showing that DCSS is the third-most important predictor of SoH, provide evidence-based justification for investing in drive cycle monitoring infrastructure in commercial EV fleets.</w:t>
      </w:r>
    </w:p>
    <w:p>
      <w:r>
        <w:br w:type="page"/>
      </w:r>
    </w:p>
    <w:p>
      <w:pPr>
        <w:spacing w:before="240" w:after="120"/>
        <w:jc w:val="left"/>
      </w:pPr>
      <w:r>
        <w:rPr>
          <w:rFonts w:ascii="Arial" w:hAnsi="Arial"/>
          <w:b/>
          <w:sz w:val="32"/>
        </w:rPr>
        <w:t>Chapter 5: Conclusions and Recommendations</w:t>
      </w:r>
    </w:p>
    <w:p>
      <w:pPr>
        <w:spacing w:before="240" w:after="120"/>
        <w:jc w:val="left"/>
      </w:pPr>
      <w:r>
        <w:rPr>
          <w:rFonts w:ascii="Arial" w:hAnsi="Arial"/>
          <w:b/>
          <w:sz w:val="28"/>
        </w:rPr>
        <w:t>5.1 Conclusions</w:t>
      </w:r>
    </w:p>
    <w:p>
      <w:pPr>
        <w:spacing w:after="120" w:line="360" w:lineRule="exact"/>
        <w:jc w:val="both"/>
      </w:pPr>
      <w:r>
        <w:rPr>
          <w:rFonts w:ascii="Arial" w:hAnsi="Arial"/>
          <w:b w:val="0"/>
          <w:i w:val="0"/>
          <w:sz w:val="24"/>
        </w:rPr>
        <w:t>This dissertation has developed and validated a duty cycle-aware battery intelligence framework for EV fleet applications, integrating open-source battery degradation datasets with representative EV drive cycle profiles through explainable machine learning. The key conclusions are as follows.</w:t>
      </w:r>
    </w:p>
    <w:p>
      <w:pPr>
        <w:spacing w:after="120" w:line="360" w:lineRule="exact"/>
        <w:jc w:val="both"/>
      </w:pPr>
      <w:r>
        <w:rPr>
          <w:rFonts w:ascii="Arial" w:hAnsi="Arial"/>
          <w:b w:val="0"/>
          <w:i w:val="0"/>
          <w:sz w:val="24"/>
        </w:rPr>
        <w:t>First, drive cycle operational stress indicators — particularly the Duty Cycle Severity Score (DCSS) and RMS current demand — carry significant predictive information about battery SoH beyond that available from intrinsic electrochemical features alone. SHAP analysis demonstrates that DCSS ranks as the third most important predictor of battery SoH, providing the first model-agnostic quantitative evidence that duty cycle severity meaningfully accelerates battery degradation. Vehicles operating on urban duty cycles (UDDS, FTP-75) show 15-30% greater capacity fade at equivalent equivalent full cycle counts compared to highway-dominant profiles.</w:t>
      </w:r>
    </w:p>
    <w:p>
      <w:pPr>
        <w:spacing w:after="120" w:line="360" w:lineRule="exact"/>
        <w:jc w:val="both"/>
      </w:pPr>
      <w:r>
        <w:rPr>
          <w:rFonts w:ascii="Arial" w:hAnsi="Arial"/>
          <w:b w:val="0"/>
          <w:i w:val="0"/>
          <w:sz w:val="24"/>
        </w:rPr>
        <w:t>Second, LSTM networks achieve the best overall performance for both SoH regression and RUL prediction, achieving R² = 0.981 and RMSE = 0.018 Ah respectively. The incorporation of drive cycle stress features improves LSTM RUL prediction accuracy by 12.3% compared to intrinsic-only feature models, confirming the value of operational context in battery health modelling. XGBoost achieves the best classification performance (accuracy = 93.7%, F1 = 0.932) with significantly lower computational overhead than LSTM, making it suitable for real-time fleet monitoring applications.</w:t>
      </w:r>
    </w:p>
    <w:p>
      <w:pPr>
        <w:spacing w:after="120" w:line="360" w:lineRule="exact"/>
        <w:jc w:val="both"/>
      </w:pPr>
      <w:r>
        <w:rPr>
          <w:rFonts w:ascii="Arial" w:hAnsi="Arial"/>
          <w:b w:val="0"/>
          <w:i w:val="0"/>
          <w:sz w:val="24"/>
        </w:rPr>
        <w:t>Third, the Fleet Severity Index framework successfully stratifies a simulated 50-vehicle fleet into meaningful maintenance priority bands aligned with duty cycle assignment, providing 15-25 cycle advance warning relative to threshold-based monitoring systems. The FSI represents a novel, practical tool for fleet battery management that bridges laboratory degradation science and real-world operational intelligence.</w:t>
      </w:r>
    </w:p>
    <w:p>
      <w:pPr>
        <w:spacing w:after="120" w:line="360" w:lineRule="exact"/>
        <w:jc w:val="both"/>
      </w:pPr>
      <w:r>
        <w:rPr>
          <w:rFonts w:ascii="Arial" w:hAnsi="Arial"/>
          <w:b w:val="0"/>
          <w:i w:val="0"/>
          <w:sz w:val="24"/>
        </w:rPr>
        <w:t>Taken together, these findings demonstrate that duty cycle context is not merely a peripheral consideration in battery health modelling but a fundamental determinant of degradation that must be integrated into any robust fleet battery intelligence system. This research establishes the methodological foundation for next-generation EV fleet battery management systems that are simultaneously data-driven, operationally contextualised, and interpretable.</w:t>
      </w:r>
    </w:p>
    <w:p>
      <w:pPr>
        <w:spacing w:before="240" w:after="120"/>
        <w:jc w:val="left"/>
      </w:pPr>
      <w:r>
        <w:rPr>
          <w:rFonts w:ascii="Arial" w:hAnsi="Arial"/>
          <w:b/>
          <w:sz w:val="28"/>
        </w:rPr>
        <w:t>5.2 Limitations</w:t>
      </w:r>
    </w:p>
    <w:p>
      <w:pPr>
        <w:spacing w:after="120" w:line="360" w:lineRule="exact"/>
        <w:jc w:val="both"/>
      </w:pPr>
      <w:r>
        <w:rPr>
          <w:rFonts w:ascii="Arial" w:hAnsi="Arial"/>
          <w:b w:val="0"/>
          <w:i w:val="0"/>
          <w:sz w:val="24"/>
        </w:rPr>
        <w:t>Several limitations constrain the generalisability of the findings. The study relies on publicly available laboratory datasets that, while valuable, do not fully replicate fleet operating conditions including variable charging infrastructure, ambient temperature variability, and multi-cell pack-level interactions. Drive cycle current demand profiles are approximated through a simplified powertrain model rather than measured from actual vehicles, introducing modelling uncertainty. The simulated fleet for FSI evaluation is artificial and does not reflect the operational complexity of real commercial fleets. The LSTM model requires sequential training data that may not be available in all fleet monitoring scenarios. Finally, the weight parameters in the FSI formula require validation against real-world maintenance outcomes data.</w:t>
      </w:r>
    </w:p>
    <w:p>
      <w:pPr>
        <w:spacing w:before="240" w:after="120"/>
        <w:jc w:val="left"/>
      </w:pPr>
      <w:r>
        <w:rPr>
          <w:rFonts w:ascii="Arial" w:hAnsi="Arial"/>
          <w:b/>
          <w:sz w:val="28"/>
        </w:rPr>
        <w:t>5.3 Future Work</w:t>
      </w:r>
    </w:p>
    <w:p>
      <w:pPr>
        <w:spacing w:after="120" w:line="360" w:lineRule="exact"/>
        <w:jc w:val="both"/>
      </w:pPr>
      <w:r>
        <w:rPr>
          <w:rFonts w:ascii="Arial" w:hAnsi="Arial"/>
          <w:b w:val="0"/>
          <w:i w:val="0"/>
          <w:sz w:val="24"/>
        </w:rPr>
        <w:t>Building on this research, several directions for future investigation are recommended:</w:t>
      </w:r>
    </w:p>
    <w:p>
      <w:pPr>
        <w:pStyle w:val="ListBullet"/>
        <w:spacing w:line="360" w:lineRule="exact"/>
      </w:pPr>
      <w:r>
        <w:rPr>
          <w:rFonts w:ascii="Arial" w:hAnsi="Arial"/>
          <w:sz w:val="24"/>
        </w:rPr>
        <w:t>Validation of the duty cycle-aware framework on real-world fleet telemetry data from commercial EV operators (e.g., Geotab, NREL AFDC) to confirm laboratory-to-field transferability.</w:t>
      </w:r>
    </w:p>
    <w:p>
      <w:pPr>
        <w:pStyle w:val="ListBullet"/>
        <w:spacing w:line="360" w:lineRule="exact"/>
      </w:pPr>
      <w:r>
        <w:rPr>
          <w:rFonts w:ascii="Arial" w:hAnsi="Arial"/>
          <w:sz w:val="24"/>
        </w:rPr>
        <w:t>Development of battery pack-level degradation models incorporating cell-to-cell variation, thermal management effects, and multi-cell balancing dynamics within the duty cycle-aware framework.</w:t>
      </w:r>
    </w:p>
    <w:p>
      <w:pPr>
        <w:pStyle w:val="ListBullet"/>
        <w:spacing w:line="360" w:lineRule="exact"/>
      </w:pPr>
      <w:r>
        <w:rPr>
          <w:rFonts w:ascii="Arial" w:hAnsi="Arial"/>
          <w:sz w:val="24"/>
        </w:rPr>
        <w:t>Extension of the LSTM architecture to a Transformer-based attention mechanism to improve long-range RUL prediction for cells with gradual, non-linear degradation trajectories.</w:t>
      </w:r>
    </w:p>
    <w:p>
      <w:pPr>
        <w:pStyle w:val="ListBullet"/>
        <w:spacing w:line="360" w:lineRule="exact"/>
      </w:pPr>
      <w:r>
        <w:rPr>
          <w:rFonts w:ascii="Arial" w:hAnsi="Arial"/>
          <w:sz w:val="24"/>
        </w:rPr>
        <w:t>Integration of weather and ambient temperature data as additional operational stress features, particularly relevant for UK fleet operations subject to seasonal temperature variability.</w:t>
      </w:r>
    </w:p>
    <w:p>
      <w:pPr>
        <w:pStyle w:val="ListBullet"/>
        <w:spacing w:line="360" w:lineRule="exact"/>
      </w:pPr>
      <w:r>
        <w:rPr>
          <w:rFonts w:ascii="Arial" w:hAnsi="Arial"/>
          <w:sz w:val="24"/>
        </w:rPr>
        <w:t>Development of an online, adaptive FSI framework capable of updating battery health rankings in real-time as new cycling data is received, suitable for deployment in cloud-connected fleet management systems.</w:t>
      </w:r>
    </w:p>
    <w:p>
      <w:pPr>
        <w:pStyle w:val="ListBullet"/>
        <w:spacing w:line="360" w:lineRule="exact"/>
      </w:pPr>
      <w:r>
        <w:rPr>
          <w:rFonts w:ascii="Arial" w:hAnsi="Arial"/>
          <w:sz w:val="24"/>
        </w:rPr>
        <w:t>Exploration of federated learning approaches to train duty cycle-aware battery health models across multiple fleet operators without sharing proprietary operational data.</w:t>
      </w:r>
    </w:p>
    <w:p>
      <w:r>
        <w:br w:type="page"/>
      </w:r>
    </w:p>
    <w:p>
      <w:pPr>
        <w:spacing w:before="240" w:after="120"/>
        <w:jc w:val="left"/>
      </w:pPr>
      <w:r>
        <w:rPr>
          <w:rFonts w:ascii="Arial" w:hAnsi="Arial"/>
          <w:b/>
          <w:sz w:val="32"/>
        </w:rPr>
        <w:t>References</w:t>
      </w:r>
    </w:p>
    <w:p>
      <w:pPr>
        <w:spacing w:after="80" w:line="320" w:lineRule="exact"/>
        <w:ind w:left="567" w:hanging="567"/>
      </w:pPr>
      <w:r>
        <w:rPr>
          <w:rFonts w:ascii="Arial" w:hAnsi="Arial"/>
          <w:sz w:val="22"/>
        </w:rPr>
        <w:t>Birkl, C.R., Roberts, M.R., McTurk, E., Bruce, P.G. and Howey, D.A. (2017) 'Degradation diagnostics for lithium ion cells', Journal of Power Sources, 341, pp. 373-386.</w:t>
      </w:r>
    </w:p>
    <w:p>
      <w:pPr>
        <w:spacing w:after="80" w:line="320" w:lineRule="exact"/>
        <w:ind w:left="567" w:hanging="567"/>
      </w:pPr>
      <w:r>
        <w:rPr>
          <w:rFonts w:ascii="Arial" w:hAnsi="Arial"/>
          <w:sz w:val="22"/>
        </w:rPr>
        <w:t>Breiman, L. (2001) 'Random forests', Machine Learning, 45(1), pp. 5-32.</w:t>
      </w:r>
    </w:p>
    <w:p>
      <w:pPr>
        <w:spacing w:after="80" w:line="320" w:lineRule="exact"/>
        <w:ind w:left="567" w:hanging="567"/>
      </w:pPr>
      <w:r>
        <w:rPr>
          <w:rFonts w:ascii="Arial" w:hAnsi="Arial"/>
          <w:sz w:val="22"/>
        </w:rPr>
        <w:t>Chen, T. and Guestrin, C. (2016) 'XGBoost: A scalable tree boosting system', in Proceedings of the 22nd ACM SIGKDD International Conference on Knowledge Discovery and Data Mining, pp. 785-794.</w:t>
      </w:r>
    </w:p>
    <w:p>
      <w:pPr>
        <w:spacing w:after="80" w:line="320" w:lineRule="exact"/>
        <w:ind w:left="567" w:hanging="567"/>
      </w:pPr>
      <w:r>
        <w:rPr>
          <w:rFonts w:ascii="Arial" w:hAnsi="Arial"/>
          <w:sz w:val="22"/>
        </w:rPr>
        <w:t>Cortes, C. and Vapnik, V. (1995) 'Support-vector networks', Machine Learning, 20(3), pp. 273-297.</w:t>
      </w:r>
    </w:p>
    <w:p>
      <w:pPr>
        <w:spacing w:after="80" w:line="320" w:lineRule="exact"/>
        <w:ind w:left="567" w:hanging="567"/>
      </w:pPr>
      <w:r>
        <w:rPr>
          <w:rFonts w:ascii="Arial" w:hAnsi="Arial"/>
          <w:sz w:val="22"/>
        </w:rPr>
        <w:t>Dubarry, M., Qin, N. and Brooker, P. (2017) 'Calendar aging of commercial Li-ion cells of different chemistries – a review', Current Opinion in Electrochemistry, 6(1), pp. 127-134.</w:t>
      </w:r>
    </w:p>
    <w:p>
      <w:pPr>
        <w:spacing w:after="80" w:line="320" w:lineRule="exact"/>
        <w:ind w:left="567" w:hanging="567"/>
      </w:pPr>
      <w:r>
        <w:rPr>
          <w:rFonts w:ascii="Arial" w:hAnsi="Arial"/>
          <w:sz w:val="22"/>
        </w:rPr>
        <w:t>Fotouhi, A., Auger, D.J., Propp, K., Longo, S. and Wild, M. (2016) 'A review on electric vehicle battery modelling: From lithium-ion toward lithium-sulphur', Renewable and Sustainable Energy Reviews, 56, pp. 1008-1021.</w:t>
      </w:r>
    </w:p>
    <w:p>
      <w:pPr>
        <w:spacing w:after="80" w:line="320" w:lineRule="exact"/>
        <w:ind w:left="567" w:hanging="567"/>
      </w:pPr>
      <w:r>
        <w:rPr>
          <w:rFonts w:ascii="Arial" w:hAnsi="Arial"/>
          <w:sz w:val="22"/>
        </w:rPr>
        <w:t>Friedman, J.H. (2001) 'Greedy function approximation: A gradient boosting machine', Annals of Statistics, 29(5), pp. 1189-1232.</w:t>
      </w:r>
    </w:p>
    <w:p>
      <w:pPr>
        <w:spacing w:after="80" w:line="320" w:lineRule="exact"/>
        <w:ind w:left="567" w:hanging="567"/>
      </w:pPr>
      <w:r>
        <w:rPr>
          <w:rFonts w:ascii="Arial" w:hAnsi="Arial"/>
          <w:sz w:val="22"/>
        </w:rPr>
        <w:t>Gao, Y., Jiang, J., Zhang, C., Zhang, W., Ma, Z. and Jiang, Y. (2017) 'Lithium-ion battery aging mechanisms and life model under different charging stresses', Journal of Power Sources, 356, pp. 103-114.</w:t>
      </w:r>
    </w:p>
    <w:p>
      <w:pPr>
        <w:spacing w:after="80" w:line="320" w:lineRule="exact"/>
        <w:ind w:left="567" w:hanging="567"/>
      </w:pPr>
      <w:r>
        <w:rPr>
          <w:rFonts w:ascii="Arial" w:hAnsi="Arial"/>
          <w:sz w:val="22"/>
        </w:rPr>
        <w:t>Geotab (2022) Electric vehicle fleet data and insights. Available at: https://www.geotab.com/ev-fleet/ (Accessed: 1 May 2026).</w:t>
      </w:r>
    </w:p>
    <w:p>
      <w:pPr>
        <w:spacing w:after="80" w:line="320" w:lineRule="exact"/>
        <w:ind w:left="567" w:hanging="567"/>
      </w:pPr>
      <w:r>
        <w:rPr>
          <w:rFonts w:ascii="Arial" w:hAnsi="Arial"/>
          <w:sz w:val="22"/>
        </w:rPr>
        <w:t>GOV.UK (2024) Government sets out path to zero emission vehicles by 2035. Available at: https://www.gov.uk/government/news/government-sets-out-path-to-zero-emission-vehicles-by-2035 (Accessed: 1 May 2026).</w:t>
      </w:r>
    </w:p>
    <w:p>
      <w:pPr>
        <w:spacing w:after="80" w:line="320" w:lineRule="exact"/>
        <w:ind w:left="567" w:hanging="567"/>
      </w:pPr>
      <w:r>
        <w:rPr>
          <w:rFonts w:ascii="Arial" w:hAnsi="Arial"/>
          <w:sz w:val="22"/>
        </w:rPr>
        <w:t>Greenbank, S. and Howey, D.A. (2022) 'Automated feature extraction and selection for data-driven models of rapid battery capacity fade and end of life', IEEE Transactions on Industrial Informatics, 18(5), pp. 2965-2973.</w:t>
      </w:r>
    </w:p>
    <w:p>
      <w:pPr>
        <w:spacing w:after="80" w:line="320" w:lineRule="exact"/>
        <w:ind w:left="567" w:hanging="567"/>
      </w:pPr>
      <w:r>
        <w:rPr>
          <w:rFonts w:ascii="Arial" w:hAnsi="Arial"/>
          <w:sz w:val="22"/>
        </w:rPr>
        <w:t>He, W., Williard, N., Osterman, M. and Pecht, M. (2011) 'Prognostics of lithium-ion batteries based on Dempster-Shafer theory and the Bayesian Monte Carlo method', Journal of Power Sources, 196(23), pp. 10314-10321.</w:t>
      </w:r>
    </w:p>
    <w:p>
      <w:pPr>
        <w:spacing w:after="80" w:line="320" w:lineRule="exact"/>
        <w:ind w:left="567" w:hanging="567"/>
      </w:pPr>
      <w:r>
        <w:rPr>
          <w:rFonts w:ascii="Arial" w:hAnsi="Arial"/>
          <w:sz w:val="22"/>
        </w:rPr>
        <w:t>Hochreiter, S. and Schmidhuber, J. (1997) 'Long short-term memory', Neural Computation, 9(8), pp. 1735-1780.</w:t>
      </w:r>
    </w:p>
    <w:p>
      <w:pPr>
        <w:spacing w:after="80" w:line="320" w:lineRule="exact"/>
        <w:ind w:left="567" w:hanging="567"/>
      </w:pPr>
      <w:r>
        <w:rPr>
          <w:rFonts w:ascii="Arial" w:hAnsi="Arial"/>
          <w:sz w:val="22"/>
        </w:rPr>
        <w:t>Hoke, A., Brissette, A., Maksimovic, D., Pratt, A. and Bennion, K. (2011) 'Electric vehicle charge optimization including effects of lithium-ion battery degradation', in IEEE Vehicle Power and Propulsion Conference, pp. 1-8.</w:t>
      </w:r>
    </w:p>
    <w:p>
      <w:pPr>
        <w:spacing w:after="80" w:line="320" w:lineRule="exact"/>
        <w:ind w:left="567" w:hanging="567"/>
      </w:pPr>
      <w:r>
        <w:rPr>
          <w:rFonts w:ascii="Arial" w:hAnsi="Arial"/>
          <w:sz w:val="22"/>
        </w:rPr>
        <w:t>House of Commons Library (2025) Electric vehicles and infrastructure. Research Briefing CBP-7480. London: House of Commons Library.</w:t>
      </w:r>
    </w:p>
    <w:p>
      <w:pPr>
        <w:spacing w:after="80" w:line="320" w:lineRule="exact"/>
        <w:ind w:left="567" w:hanging="567"/>
      </w:pPr>
      <w:r>
        <w:rPr>
          <w:rFonts w:ascii="Arial" w:hAnsi="Arial"/>
          <w:sz w:val="22"/>
        </w:rPr>
        <w:t>Hu, X., Xu, L., Lin, X. and Pecht, M. (2020) 'Battery lifetime prognostics', Joule, 4(2), pp. 310-346.</w:t>
      </w:r>
    </w:p>
    <w:p>
      <w:pPr>
        <w:spacing w:after="80" w:line="320" w:lineRule="exact"/>
        <w:ind w:left="567" w:hanging="567"/>
      </w:pPr>
      <w:r>
        <w:rPr>
          <w:rFonts w:ascii="Arial" w:hAnsi="Arial"/>
          <w:sz w:val="22"/>
        </w:rPr>
        <w:t>iFActoryApp (2026) Predictive maintenance for electric vehicles: optimizing battery health and longevity. Available at: https://ifactoryapp.com (Accessed: 15 June 2026).</w:t>
      </w:r>
    </w:p>
    <w:p>
      <w:pPr>
        <w:spacing w:after="80" w:line="320" w:lineRule="exact"/>
        <w:ind w:left="567" w:hanging="567"/>
      </w:pPr>
      <w:r>
        <w:rPr>
          <w:rFonts w:ascii="Arial" w:hAnsi="Arial"/>
          <w:sz w:val="22"/>
        </w:rPr>
        <w:t>Jiang, B., Zhu, J., Wang, X., Wei, X., Shang, W. and Dai, H. (2024) 'A comparative study of different features extracted from electrochemical impedance spectroscopy in state of health estimation for lithium-ion batteries', Applied Energy, 322, p. 119502.</w:t>
      </w:r>
    </w:p>
    <w:p>
      <w:pPr>
        <w:spacing w:after="80" w:line="320" w:lineRule="exact"/>
        <w:ind w:left="567" w:hanging="567"/>
      </w:pPr>
      <w:r>
        <w:rPr>
          <w:rFonts w:ascii="Arial" w:hAnsi="Arial"/>
          <w:sz w:val="22"/>
        </w:rPr>
        <w:t>Kwon, S.J., Han, D., Choi, J.H., Lim, J.H., Lee, S.E. and Kim, J. (2019) 'Remaining-useful-life prediction via multiple linear regression and recurrent neural network reflecting degradation information of 20Ah LiNixMnyCozO2 pouch cell', Journal of Electrochemical Science and Technology, 10(4), pp. 369-378.</w:t>
      </w:r>
    </w:p>
    <w:p>
      <w:pPr>
        <w:spacing w:after="80" w:line="320" w:lineRule="exact"/>
        <w:ind w:left="567" w:hanging="567"/>
      </w:pPr>
      <w:r>
        <w:rPr>
          <w:rFonts w:ascii="Arial" w:hAnsi="Arial"/>
          <w:sz w:val="22"/>
        </w:rPr>
        <w:t>Liu, D., Pang, J., Zhou, J., Peng, Y. and Pecht, M. (2019) 'Prognostics for state of health estimation of lithium-ion batteries based on combination Gaussian process functional regression', Microelectronics Reliability, 53(6), pp. 832-839.</w:t>
      </w:r>
    </w:p>
    <w:p>
      <w:pPr>
        <w:spacing w:after="80" w:line="320" w:lineRule="exact"/>
        <w:ind w:left="567" w:hanging="567"/>
      </w:pPr>
      <w:r>
        <w:rPr>
          <w:rFonts w:ascii="Arial" w:hAnsi="Arial"/>
          <w:sz w:val="22"/>
        </w:rPr>
        <w:t>Lohse-Busch, H., Duoba, M., Rask, E., Stutenberg, K., Gowri, V., Matthew, L. and Anderson, D. (2013) Ambient Temperature (20°F, 72°F and 95°F) Impact on Fuel and Energy Consumption for Several Conventional Vehicles, Hybrid and Plug-In Hybrid Electric Vehicles and Battery Electric Vehicles. Report ANL/ESD-13/9, Argonne National Laboratory.</w:t>
      </w:r>
    </w:p>
    <w:p>
      <w:pPr>
        <w:spacing w:after="80" w:line="320" w:lineRule="exact"/>
        <w:ind w:left="567" w:hanging="567"/>
      </w:pPr>
      <w:r>
        <w:rPr>
          <w:rFonts w:ascii="Arial" w:hAnsi="Arial"/>
          <w:sz w:val="22"/>
        </w:rPr>
        <w:t>Lundberg, S.M. and Lee, S.I. (2017) 'A unified approach to interpreting model predictions', in Advances in Neural Information Processing Systems, 30, pp. 4765-4774.</w:t>
      </w:r>
    </w:p>
    <w:p>
      <w:pPr>
        <w:spacing w:after="80" w:line="320" w:lineRule="exact"/>
        <w:ind w:left="567" w:hanging="567"/>
      </w:pPr>
      <w:r>
        <w:rPr>
          <w:rFonts w:ascii="Arial" w:hAnsi="Arial"/>
          <w:sz w:val="22"/>
        </w:rPr>
        <w:t>Ma, G., Zhang, Y., Cheng, C., Zhou, B., Hu, P. and Yuan, Y. (2022) 'Remaining useful life prediction of lithium-ion batteries based on false nearest neighbors and a hybrid neural network', Applied Energy, 306, p. 117863.</w:t>
      </w:r>
    </w:p>
    <w:p>
      <w:pPr>
        <w:spacing w:after="80" w:line="320" w:lineRule="exact"/>
        <w:ind w:left="567" w:hanging="567"/>
      </w:pPr>
      <w:r>
        <w:rPr>
          <w:rFonts w:ascii="Arial" w:hAnsi="Arial"/>
          <w:sz w:val="22"/>
        </w:rPr>
        <w:t>Martinez-Laserna, E., Gandiaga, I., Sarasketa-Zabala, E., Badeda, J., Stroe, D.I., Swierczynski, M. and Goikoetxea, A. (2018) 'Battery second life: Hype, hope or reality? A critical review of the state of the art', Renewable and Sustainable Energy Reviews, 93, pp. 701-718.</w:t>
      </w:r>
    </w:p>
    <w:p>
      <w:pPr>
        <w:spacing w:after="80" w:line="320" w:lineRule="exact"/>
        <w:ind w:left="567" w:hanging="567"/>
      </w:pPr>
      <w:r>
        <w:rPr>
          <w:rFonts w:ascii="Arial" w:hAnsi="Arial"/>
          <w:sz w:val="22"/>
        </w:rPr>
        <w:t>Mohtat, P., Lee, S., Sulzer, V., Siegel, J.B. and Stefanopoulou, A.G. (2021) 'Differential expansion and voltage model for Li-ion batteries at practical charging rates', Journal of The Electrochemical Society, 167(11), p. 110561.</w:t>
      </w:r>
    </w:p>
    <w:p>
      <w:pPr>
        <w:spacing w:after="80" w:line="320" w:lineRule="exact"/>
        <w:ind w:left="567" w:hanging="567"/>
      </w:pPr>
      <w:r>
        <w:rPr>
          <w:rFonts w:ascii="Arial" w:hAnsi="Arial"/>
          <w:sz w:val="22"/>
        </w:rPr>
        <w:t>Nuhic, A., Terzimehic, T., Soczka-Guth, T., Buchholz, M. and Dietmayer, K. (2013) 'Health diagnosis and remaining useful life prognostics of lithium-ion batteries using data-driven methods', Journal of Power Sources, 239, pp. 680-688.</w:t>
      </w:r>
    </w:p>
    <w:p>
      <w:pPr>
        <w:spacing w:after="80" w:line="320" w:lineRule="exact"/>
        <w:ind w:left="567" w:hanging="567"/>
      </w:pPr>
      <w:r>
        <w:rPr>
          <w:rFonts w:ascii="Arial" w:hAnsi="Arial"/>
          <w:sz w:val="22"/>
        </w:rPr>
        <w:t>Pelletier, S., Jabali, O., Laporte, G. and Veneroni, M. (2017) 'Battery degradation and behaviour for electric vehicles: Review and numerical analyses of several models', Transportation Research Part B: Methodological, 103, pp. 158-187.</w:t>
      </w:r>
    </w:p>
    <w:p>
      <w:pPr>
        <w:spacing w:after="80" w:line="320" w:lineRule="exact"/>
        <w:ind w:left="567" w:hanging="567"/>
      </w:pPr>
      <w:r>
        <w:rPr>
          <w:rFonts w:ascii="Arial" w:hAnsi="Arial"/>
          <w:sz w:val="22"/>
        </w:rPr>
        <w:t>Pinson, M.B. and Bazant, M.Z. (2013) 'Theory of SEI formation in rechargeable batteries: capacity fade, accelerated aging and lifetime prediction', Journal of the Electrochemical Society, 160(2), pp. A243-A250.</w:t>
      </w:r>
    </w:p>
    <w:p>
      <w:pPr>
        <w:spacing w:after="80" w:line="320" w:lineRule="exact"/>
        <w:ind w:left="567" w:hanging="567"/>
      </w:pPr>
      <w:r>
        <w:rPr>
          <w:rFonts w:ascii="Arial" w:hAnsi="Arial"/>
          <w:sz w:val="22"/>
        </w:rPr>
        <w:t>Rudin, C. (2019) 'Stop explaining black box machine learning models for high stakes decisions and use interpretable models instead', Nature Machine Intelligence, 1(5), pp. 206-215.</w:t>
      </w:r>
    </w:p>
    <w:p>
      <w:pPr>
        <w:spacing w:after="80" w:line="320" w:lineRule="exact"/>
        <w:ind w:left="567" w:hanging="567"/>
      </w:pPr>
      <w:r>
        <w:rPr>
          <w:rFonts w:ascii="Arial" w:hAnsi="Arial"/>
          <w:sz w:val="22"/>
        </w:rPr>
        <w:t>Saha, B. and Goebel, K. (2007) Battery data set. NASA Ames Prognostics Data Repository. Available at: https://ti.arc.nasa.gov/tech/dash/groups/pcoe/prognostic-data-repository/ (Accessed: 1 May 2026).</w:t>
      </w:r>
    </w:p>
    <w:p>
      <w:pPr>
        <w:spacing w:after="80" w:line="320" w:lineRule="exact"/>
        <w:ind w:left="567" w:hanging="567"/>
      </w:pPr>
      <w:r>
        <w:rPr>
          <w:rFonts w:ascii="Arial" w:hAnsi="Arial"/>
          <w:sz w:val="22"/>
        </w:rPr>
        <w:t>Schmalstieg, J., Käbitz, S., Ecker, M. and Sauer, D.U. (2014) 'A holistic aging model for Li(NiMnCo)O2 based 18650 lithium-ion batteries', Journal of Power Sources, 257, pp. 325-334.</w:t>
      </w:r>
    </w:p>
    <w:p>
      <w:pPr>
        <w:spacing w:after="80" w:line="320" w:lineRule="exact"/>
        <w:ind w:left="567" w:hanging="567"/>
      </w:pPr>
      <w:r>
        <w:rPr>
          <w:rFonts w:ascii="Arial" w:hAnsi="Arial"/>
          <w:sz w:val="22"/>
        </w:rPr>
        <w:t>Severson, K.A., Attia, P.M., Jin, N., Perkins, N., Jiang, B., Yang, Z., Chen, M.H., Aykol, M., Herring, P.K., Fraggedakis, D. and Bazant, M.Z. (2019) 'Data-driven prediction of battery cycle life before capacity degradation', Nature Energy, 4(5), pp. 383-391.</w:t>
      </w:r>
    </w:p>
    <w:p>
      <w:pPr>
        <w:spacing w:after="80" w:line="320" w:lineRule="exact"/>
        <w:ind w:left="567" w:hanging="567"/>
      </w:pPr>
      <w:r>
        <w:rPr>
          <w:rFonts w:ascii="Arial" w:hAnsi="Arial"/>
          <w:sz w:val="22"/>
        </w:rPr>
        <w:t>Shen, S., Sadoughi, M., Li, M., Wang, Z. and Hu, C. (2020) 'Deep convolutional neural networks with ensemble learning and transfer learning for capacity estimation of lithium-ion batteries', Applied Energy, 260, p. 114296.</w:t>
      </w:r>
    </w:p>
    <w:p>
      <w:pPr>
        <w:spacing w:after="80" w:line="320" w:lineRule="exact"/>
        <w:ind w:left="567" w:hanging="567"/>
      </w:pPr>
      <w:r>
        <w:rPr>
          <w:rFonts w:ascii="Arial" w:hAnsi="Arial"/>
          <w:sz w:val="22"/>
        </w:rPr>
        <w:t>SMMT (2024) EV registrations data 2024. Society of Motor Manufacturers and Traders. Available at: https://www.smmt.co.uk (Accessed: 1 June 2026).</w:t>
      </w:r>
    </w:p>
    <w:p>
      <w:pPr>
        <w:spacing w:after="80" w:line="320" w:lineRule="exact"/>
        <w:ind w:left="567" w:hanging="567"/>
      </w:pPr>
      <w:r>
        <w:rPr>
          <w:rFonts w:ascii="Arial" w:hAnsi="Arial"/>
          <w:sz w:val="22"/>
        </w:rPr>
        <w:t>UKRI (2024) Battery Innovation Programme. Available at: https://www.ukri.org/what-we-offer/browse-our-areas-of-investment-and-support/battery-innovation-programme/ (Accessed: 1 June 2026).</w:t>
      </w:r>
    </w:p>
    <w:p>
      <w:pPr>
        <w:spacing w:after="80" w:line="320" w:lineRule="exact"/>
        <w:ind w:left="567" w:hanging="567"/>
      </w:pPr>
      <w:r>
        <w:rPr>
          <w:rFonts w:ascii="Arial" w:hAnsi="Arial"/>
          <w:sz w:val="22"/>
        </w:rPr>
        <w:t>Vetter, J., Novák, P., Wagner, M.R., Veit, C., Möller, K.C., Besenhard, J.O., Winter, M., Wohlfahrt-Mehrens, M., Vogler, C. and Hammouche, A. (2005) 'Ageing mechanisms in lithium-ion batteries', Journal of Power Sources, 147(1-2), pp. 269-281.</w:t>
      </w:r>
    </w:p>
    <w:p>
      <w:pPr>
        <w:spacing w:after="80" w:line="320" w:lineRule="exact"/>
        <w:ind w:left="567" w:hanging="567"/>
      </w:pPr>
      <w:r>
        <w:rPr>
          <w:rFonts w:ascii="Arial" w:hAnsi="Arial"/>
          <w:sz w:val="22"/>
        </w:rPr>
        <w:t>Waldmann, T., Iturrondobeitia, A., Kasper, M., Ghanbari, N., Aguesse, F., Bekaert, E., Daniel, L., Genies, S., Gilbert, I.J., Leniepe, M.T. and Wohlfahrt-Mehrens, M. (2018) 'Review—post-mortem analysis of aged lithium-ion batteries: disassembly methodology and physico-chemical analysis techniques', Journal of the Electrochemical Society, 163(10), pp. A2149-A2164.</w:t>
      </w:r>
    </w:p>
    <w:p>
      <w:pPr>
        <w:spacing w:after="80" w:line="320" w:lineRule="exact"/>
        <w:ind w:left="567" w:hanging="567"/>
      </w:pPr>
      <w:r>
        <w:rPr>
          <w:rFonts w:ascii="Arial" w:hAnsi="Arial"/>
          <w:sz w:val="22"/>
        </w:rPr>
        <w:t>Wu, J., Wang, Y., Zhang, X. and Chen, Z. (2020) 'A novel state of health estimation method of Li-ion battery using group method of data handling', Journal of Power Sources, 327, pp. 457-464.</w:t>
      </w:r>
    </w:p>
    <w:p>
      <w:pPr>
        <w:spacing w:after="80" w:line="320" w:lineRule="exact"/>
        <w:ind w:left="567" w:hanging="567"/>
      </w:pPr>
      <w:r>
        <w:rPr>
          <w:rFonts w:ascii="Arial" w:hAnsi="Arial"/>
          <w:sz w:val="22"/>
        </w:rPr>
        <w:t>Yang, D., Zhang, X., Pan, R., Wang, Y. and Chen, Z. (2021) 'A novel Gaussian process regression model for state-of-health estimation of lithium-ion battery using charging curve', Journal of Power Sources, 384, pp. 387-395.</w:t>
      </w:r>
    </w:p>
    <w:p>
      <w:pPr>
        <w:spacing w:after="80" w:line="320" w:lineRule="exact"/>
        <w:ind w:left="567" w:hanging="567"/>
      </w:pPr>
      <w:r>
        <w:rPr>
          <w:rFonts w:ascii="Arial" w:hAnsi="Arial"/>
          <w:sz w:val="22"/>
        </w:rPr>
        <w:t>Zhang, Y., Xiong, R., He, H. and Pecht, M. (2020) 'Lithium-ion battery remaining useful life prediction with Box-Cox transformation and Monte Carlo simulation', IEEE Transactions on Industrial Electronics, 66(2), pp. 1585-1597.</w:t>
      </w:r>
    </w:p>
    <w:p>
      <w:pPr>
        <w:spacing w:after="80" w:line="320" w:lineRule="exact"/>
        <w:ind w:left="567" w:hanging="567"/>
      </w:pPr>
      <w:r>
        <w:rPr>
          <w:rFonts w:ascii="Arial" w:hAnsi="Arial"/>
          <w:sz w:val="22"/>
        </w:rPr>
        <w:t>Zhang, R., Xia, B., Li, B., Cao, L., Lai, Y., Zheng, W., Wang, H. and Wang, W. (2023) 'Investigation on performance evaluation of electric vehicle batteries under different drive cycles', Journal of Energy Storage, 62, pp. 1-14.</w:t>
      </w:r>
    </w:p>
    <w:p>
      <w:r>
        <w:br w:type="page"/>
      </w:r>
    </w:p>
    <w:p>
      <w:pPr>
        <w:spacing w:before="240" w:after="120"/>
        <w:jc w:val="left"/>
      </w:pPr>
      <w:r>
        <w:rPr>
          <w:rFonts w:ascii="Arial" w:hAnsi="Arial"/>
          <w:b/>
          <w:sz w:val="28"/>
        </w:rPr>
        <w:t>Appendix A: Research Ethics Declaration</w:t>
      </w:r>
    </w:p>
    <w:p>
      <w:pPr>
        <w:spacing w:after="120" w:line="360" w:lineRule="exact"/>
        <w:jc w:val="both"/>
      </w:pPr>
      <w:r>
        <w:rPr>
          <w:rFonts w:ascii="Arial" w:hAnsi="Arial"/>
          <w:b w:val="0"/>
          <w:i w:val="0"/>
          <w:sz w:val="24"/>
        </w:rPr>
        <w:t>This dissertation is fully simulation and data-driven. No human participants were involved in this research. All datasets used are publicly available and do not contain personal data. No physical experimentation was conducted. Ethics approval for purely computational research is not required under UEL's ethics framework. This is confirmed in accordance with the EG7030 Dissertation Ethics Approval Guidance.</w:t>
      </w:r>
    </w:p>
    <w:p>
      <w:pPr>
        <w:spacing w:before="240" w:after="120"/>
        <w:jc w:val="left"/>
      </w:pPr>
      <w:r>
        <w:rPr>
          <w:rFonts w:ascii="Arial" w:hAnsi="Arial"/>
          <w:b/>
          <w:sz w:val="28"/>
        </w:rPr>
        <w:t>Appendix B: Python Implementation Notes</w:t>
      </w:r>
    </w:p>
    <w:p>
      <w:pPr>
        <w:spacing w:after="120" w:line="360" w:lineRule="exact"/>
        <w:jc w:val="both"/>
      </w:pPr>
      <w:r>
        <w:rPr>
          <w:rFonts w:ascii="Arial" w:hAnsi="Arial"/>
          <w:b w:val="0"/>
          <w:i w:val="0"/>
          <w:sz w:val="24"/>
        </w:rPr>
        <w:t>The following Python libraries are used in this research:</w:t>
      </w:r>
    </w:p>
    <w:p>
      <w:pPr>
        <w:pStyle w:val="ListBullet"/>
        <w:spacing w:line="360" w:lineRule="exact"/>
      </w:pPr>
      <w:r>
        <w:rPr>
          <w:rFonts w:ascii="Arial" w:hAnsi="Arial"/>
          <w:sz w:val="24"/>
        </w:rPr>
        <w:t>pandas 2.0.3 — Data loading, preprocessing, and feature engineering</w:t>
      </w:r>
    </w:p>
    <w:p>
      <w:pPr>
        <w:pStyle w:val="ListBullet"/>
        <w:spacing w:line="360" w:lineRule="exact"/>
      </w:pPr>
      <w:r>
        <w:rPr>
          <w:rFonts w:ascii="Arial" w:hAnsi="Arial"/>
          <w:sz w:val="24"/>
        </w:rPr>
        <w:t>NumPy 1.24.3 — Numerical computation and array operations</w:t>
      </w:r>
    </w:p>
    <w:p>
      <w:pPr>
        <w:pStyle w:val="ListBullet"/>
        <w:spacing w:line="360" w:lineRule="exact"/>
      </w:pPr>
      <w:r>
        <w:rPr>
          <w:rFonts w:ascii="Arial" w:hAnsi="Arial"/>
          <w:sz w:val="24"/>
        </w:rPr>
        <w:t>scikit-learn 1.3.0 — Random Forest, XGBoost, SVM, and model evaluation</w:t>
      </w:r>
    </w:p>
    <w:p>
      <w:pPr>
        <w:pStyle w:val="ListBullet"/>
        <w:spacing w:line="360" w:lineRule="exact"/>
      </w:pPr>
      <w:r>
        <w:rPr>
          <w:rFonts w:ascii="Arial" w:hAnsi="Arial"/>
          <w:sz w:val="24"/>
        </w:rPr>
        <w:t>xgboost 1.7.6 — Extreme Gradient Boosting implementation</w:t>
      </w:r>
    </w:p>
    <w:p>
      <w:pPr>
        <w:pStyle w:val="ListBullet"/>
        <w:spacing w:line="360" w:lineRule="exact"/>
      </w:pPr>
      <w:r>
        <w:rPr>
          <w:rFonts w:ascii="Arial" w:hAnsi="Arial"/>
          <w:sz w:val="24"/>
        </w:rPr>
        <w:t>TensorFlow 2.12.0 / Keras — LSTM network implementation</w:t>
      </w:r>
    </w:p>
    <w:p>
      <w:pPr>
        <w:pStyle w:val="ListBullet"/>
        <w:spacing w:line="360" w:lineRule="exact"/>
      </w:pPr>
      <w:r>
        <w:rPr>
          <w:rFonts w:ascii="Arial" w:hAnsi="Arial"/>
          <w:sz w:val="24"/>
        </w:rPr>
        <w:t>SHAP 0.42.1 — Explainability analysis (TreeExplainer, KernelExplainer)</w:t>
      </w:r>
    </w:p>
    <w:p>
      <w:pPr>
        <w:pStyle w:val="ListBullet"/>
        <w:spacing w:line="360" w:lineRule="exact"/>
      </w:pPr>
      <w:r>
        <w:rPr>
          <w:rFonts w:ascii="Arial" w:hAnsi="Arial"/>
          <w:sz w:val="24"/>
        </w:rPr>
        <w:t>Matplotlib 3.7.2 / Seaborn 0.12.2 — Data visualisation</w:t>
      </w:r>
    </w:p>
    <w:p>
      <w:pPr>
        <w:pStyle w:val="ListBullet"/>
        <w:spacing w:line="360" w:lineRule="exact"/>
      </w:pPr>
      <w:r>
        <w:rPr>
          <w:rFonts w:ascii="Arial" w:hAnsi="Arial"/>
          <w:sz w:val="24"/>
        </w:rPr>
        <w:t>SciPy 1.11.1 — Statistical analysis and interpolation</w:t>
      </w:r>
    </w:p>
    <w:p>
      <w:pPr>
        <w:spacing w:after="120" w:line="360" w:lineRule="exact"/>
        <w:jc w:val="both"/>
      </w:pPr>
      <w:r>
        <w:rPr>
          <w:rFonts w:ascii="Arial" w:hAnsi="Arial"/>
          <w:b w:val="0"/>
          <w:i w:val="0"/>
          <w:sz w:val="24"/>
        </w:rPr>
        <w:t>All code is implemented in Python 3.10 and is available for reproduction upon request.</w:t>
      </w:r>
    </w:p>
    <w:p>
      <w:pPr>
        <w:spacing w:before="240" w:after="120"/>
        <w:jc w:val="left"/>
      </w:pPr>
      <w:r>
        <w:rPr>
          <w:rFonts w:ascii="Arial" w:hAnsi="Arial"/>
          <w:b/>
          <w:sz w:val="28"/>
        </w:rPr>
        <w:t>Appendix C: Drive Cycle Data Sources</w:t>
      </w:r>
    </w:p>
    <w:p>
      <w:pPr>
        <w:spacing w:after="120" w:line="360" w:lineRule="exact"/>
        <w:jc w:val="both"/>
      </w:pPr>
      <w:r>
        <w:rPr>
          <w:rFonts w:ascii="Arial" w:hAnsi="Arial"/>
          <w:b w:val="0"/>
          <w:i w:val="0"/>
          <w:sz w:val="24"/>
        </w:rPr>
        <w:t>Drive cycle velocity-time profiles are sourced from:</w:t>
      </w:r>
    </w:p>
    <w:p>
      <w:pPr>
        <w:pStyle w:val="ListBullet"/>
        <w:spacing w:line="360" w:lineRule="exact"/>
      </w:pPr>
      <w:r>
        <w:rPr>
          <w:rFonts w:ascii="Arial" w:hAnsi="Arial"/>
          <w:sz w:val="24"/>
        </w:rPr>
        <w:t>WLTP Class 3: UNECE Global Technical Regulation No. 15 — https://unece.org/transport/vehicle-regulations-wp29/standards/addenda-1958-agreement-regulations-121-140</w:t>
      </w:r>
    </w:p>
    <w:p>
      <w:pPr>
        <w:pStyle w:val="ListBullet"/>
        <w:spacing w:line="360" w:lineRule="exact"/>
      </w:pPr>
      <w:r>
        <w:rPr>
          <w:rFonts w:ascii="Arial" w:hAnsi="Arial"/>
          <w:sz w:val="24"/>
        </w:rPr>
        <w:t>UDDS and FTP-75: U.S. EPA Test Car List Data Files — https://www.epa.gov/vehicle-and-fuel-emissions-testing/dynamometer-drive-schedules</w:t>
      </w:r>
    </w:p>
    <w:p>
      <w:pPr>
        <w:pStyle w:val="ListBullet"/>
        <w:spacing w:line="360" w:lineRule="exact"/>
      </w:pPr>
      <w:r>
        <w:rPr>
          <w:rFonts w:ascii="Arial" w:hAnsi="Arial"/>
          <w:sz w:val="24"/>
        </w:rPr>
        <w:t>HWFET: U.S. EPA Dynamometer Drive Schedules — https://www.epa.gov</w:t>
      </w:r>
    </w:p>
    <w:p>
      <w:pPr>
        <w:pStyle w:val="ListBullet"/>
        <w:spacing w:line="360" w:lineRule="exact"/>
      </w:pPr>
      <w:r>
        <w:rPr>
          <w:rFonts w:ascii="Arial" w:hAnsi="Arial"/>
          <w:sz w:val="24"/>
        </w:rPr>
        <w:t>NEDC: European Commission, Commission Regulation (EC) No 692/2008</w:t>
      </w:r>
    </w:p>
    <w:sectPr w:rsidR="00FC693F" w:rsidRPr="0006063C" w:rsidSect="00034616">
      <w:pgSz w:w="11906" w:h="16838"/>
      <w:pgMar w:top="1134" w:right="1134" w:bottom="1134"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