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28"/>
        </w:rPr>
        <w:t>Тестовый документ для проверки анализа сокращений</w:t>
      </w:r>
    </w:p>
    <w:p>
      <w:pPr>
        <w:ind w:firstLine="480"/>
      </w:pPr>
      <w:r>
        <w:t>Этот документ предназначен для проверки трёх задач: распознавания словоформ, выделения уже введённых аббревиатур и определения необходимости ввода новых сокращений.</w:t>
      </w:r>
    </w:p>
    <w:p>
      <w:pPr>
        <w:pStyle w:val="Heading1"/>
      </w:pPr>
      <w:r>
        <w:t>1. Уже объявленные сокращения</w:t>
      </w:r>
    </w:p>
    <w:p>
      <w:r>
        <w:t>В подсистеме контроля используется система управления доступом (СУД), которая разграничивает права операторов и администраторов. После объявления сокращения СУД оно должно учитываться как уже введённое.</w:t>
      </w:r>
    </w:p>
    <w:p>
      <w:r>
        <w:t>Для хранения архивов применяется ЦОД (центр обработки данных). В последующих предложениях аббревиатура ЦОД повторяется без новой расшифровки.</w:t>
      </w:r>
    </w:p>
    <w:p>
      <w:pPr>
        <w:pStyle w:val="Heading1"/>
      </w:pPr>
      <w:r>
        <w:t>2. Термины, для которых желательно предложить сокращение</w:t>
      </w:r>
    </w:p>
    <w:p>
      <w:r>
        <w:t>Автоматизированная система мониторинга событий фиксирует действия пользователей и сохраняет журнал инцидентов. Автоматизированная система мониторинга событий используется в модуле аудита. При тестировании автоматизированная система мониторинга событий показала устойчивую работу.</w:t>
      </w:r>
    </w:p>
    <w:p>
      <w:r>
        <w:t>Модуль анализа текстовых документов выделяет устойчивые словоформы и сопоставляет их с уже известными аббревиатурами. В отчёте модуль анализа текстовых документов должен быть отмечен как кандидат на сокращение.</w:t>
      </w:r>
    </w:p>
    <w:p>
      <w:r>
        <w:t>Распределённая база пользовательских профилей синхронизируется между узлами. Позднее распределённая база пользовательских профилей используется для персонализации интерфейса. Если распределённая база пользовательских профилей упоминается многократно, для неё также можно рекомендовать сокращение.</w:t>
      </w:r>
    </w:p>
    <w:p>
      <w:pPr>
        <w:pStyle w:val="Heading1"/>
      </w:pPr>
      <w:r>
        <w:t>3. Пограничные случаи</w:t>
      </w:r>
    </w:p>
    <w:p>
      <w:r>
        <w:t>Короткий термин журнал ошибок встречается один раз и обычно не требует отдельной аббревиатуры.</w:t>
      </w:r>
    </w:p>
    <w:p>
      <w:r>
        <w:t>Рабочая группа анализирует результаты эксперимента. Здесь сочетание рабочая группа встречается редко и не обязано становиться аббревиатурой.</w:t>
      </w:r>
    </w:p>
    <w:p>
      <w:r>
        <w:t>Дополнительный пример вынесен в сноску , чтобы проверить извлечение текста из footnotes.xml.</w:t>
      </w:r>
      <w:r>
        <w:footnoteReference w:id="1"/>
      </w:r>
    </w:p>
    <w:p>
      <w:pPr>
        <w:pStyle w:val="Heading1"/>
      </w:pPr>
      <w:r>
        <w:t>4. Что должно обнаружиться при проверке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Тип результата</w:t>
            </w:r>
          </w:p>
        </w:tc>
        <w:tc>
          <w:tcPr>
            <w:tcW w:type="dxa" w:w="4320"/>
          </w:tcPr>
          <w:p>
            <w:r>
              <w:t>Ожидаемый пример</w:t>
            </w:r>
          </w:p>
        </w:tc>
      </w:tr>
      <w:tr>
        <w:tc>
          <w:tcPr>
            <w:tcW w:type="dxa" w:w="4320"/>
          </w:tcPr>
          <w:p>
            <w:r>
              <w:t>Существующая аббревиатура</w:t>
            </w:r>
          </w:p>
        </w:tc>
        <w:tc>
          <w:tcPr>
            <w:tcW w:type="dxa" w:w="4320"/>
          </w:tcPr>
          <w:p>
            <w:r>
              <w:t>СУД — система управления доступом</w:t>
            </w:r>
          </w:p>
        </w:tc>
      </w:tr>
      <w:tr>
        <w:tc>
          <w:tcPr>
            <w:tcW w:type="dxa" w:w="4320"/>
          </w:tcPr>
          <w:p>
            <w:r>
              <w:t>Существующая аббревиатура</w:t>
            </w:r>
          </w:p>
        </w:tc>
        <w:tc>
          <w:tcPr>
            <w:tcW w:type="dxa" w:w="4320"/>
          </w:tcPr>
          <w:p>
            <w:r>
              <w:t>ЦОД — центр обработки данных</w:t>
            </w:r>
          </w:p>
        </w:tc>
      </w:tr>
      <w:tr>
        <w:tc>
          <w:tcPr>
            <w:tcW w:type="dxa" w:w="4320"/>
          </w:tcPr>
          <w:p>
            <w:r>
              <w:t>Кандидат на сокращение</w:t>
            </w:r>
          </w:p>
        </w:tc>
        <w:tc>
          <w:tcPr>
            <w:tcW w:type="dxa" w:w="4320"/>
          </w:tcPr>
          <w:p>
            <w:r>
              <w:t>автоматизированная система мониторинга событий</w:t>
            </w:r>
          </w:p>
        </w:tc>
      </w:tr>
      <w:tr>
        <w:tc>
          <w:tcPr>
            <w:tcW w:type="dxa" w:w="4320"/>
          </w:tcPr>
          <w:p>
            <w:r>
              <w:t>Кандидат на сокращение</w:t>
            </w:r>
          </w:p>
        </w:tc>
        <w:tc>
          <w:tcPr>
            <w:tcW w:type="dxa" w:w="4320"/>
          </w:tcPr>
          <w:p>
            <w:r>
              <w:t>модуль анализа текстовых документов</w:t>
            </w:r>
          </w:p>
        </w:tc>
      </w:tr>
      <w:tr>
        <w:tc>
          <w:tcPr>
            <w:tcW w:type="dxa" w:w="4320"/>
          </w:tcPr>
          <w:p>
            <w:r>
              <w:t>Кандидат на сокращение</w:t>
            </w:r>
          </w:p>
        </w:tc>
        <w:tc>
          <w:tcPr>
            <w:tcW w:type="dxa" w:w="4320"/>
          </w:tcPr>
          <w:p>
            <w:r>
              <w:t>распределённая база пользовательских профилей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r="http://schemas.openxmlformats.org/officeDocument/2006/relationships">
  <w:footnote w:id="-1">
    <w:p>
      <w:r>
        <w:separator/>
      </w:r>
    </w:p>
  </w:footnote>
  <w:footnote w:id="0">
    <w:p>
      <w:r>
        <w:continuationSeparator/>
      </w:r>
    </w:p>
  </w:footnote>
  <w:footnote w:id="1">
    <w:p>
      <w:r>
        <w:footnoteRef/>
      </w:r>
      <w:r>
        <w:t> В сноске дополнительно указан центр оперативной обработки сообщений (ЦООС), который используется для маршрутизации уведомлений. Аббревиатура ЦООС объявлена прямо в тексте сноски.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