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before="0" w:after="40"/>
        <w:jc w:val="center"/>
      </w:pPr>
      <w:r>
        <w:rPr>
          <w:rFonts w:ascii="Arial" w:cs="Arial" w:eastAsia="Arial" w:hAnsi="Arial"/>
          <w:caps/>
          <w:color w:val="666666"/>
          <w:spacing w:val="60"/>
          <w:sz w:val="20"/>
          <w:szCs w:val="20"/>
        </w:rPr>
        <w:t xml:space="preserve">SOFTWARE ENGINEERING</w:t>
      </w:r>
    </w:p>
    <w:p>
      <w:pPr>
        <w:spacing w:before="0" w:after="200"/>
        <w:jc w:val="center"/>
      </w:pPr>
      <w:r>
        <w:rPr>
          <w:rFonts w:ascii="Arial" w:cs="Arial" w:eastAsia="Arial" w:hAnsi="Arial"/>
          <w:b/>
          <w:bCs/>
          <w:color w:val="1F3864"/>
          <w:sz w:val="48"/>
          <w:szCs w:val="48"/>
        </w:rPr>
        <w:t xml:space="preserve">Assignment Report</w:t>
      </w:r>
    </w:p>
    <w:p>
      <w:pPr>
        <w:pBdr>
          <w:bottom w:val="single" w:color="2E5596" w:sz="6" w:space="1"/>
        </w:pBdr>
        <w:spacing w:before="0" w:after="240"/>
        <w:jc w:val="center"/>
      </w:pPr>
      <w:r>
        <w:rPr>
          <w:rFonts w:ascii="Arial" w:cs="Arial" w:eastAsia="Arial" w:hAnsi="Arial"/>
          <w:b/>
          <w:bCs/>
          <w:color w:val="2E5596"/>
          <w:sz w:val="30"/>
          <w:szCs w:val="30"/>
        </w:rPr>
        <w:t xml:space="preserve">CityFlow Autonomous Shuttle System</w:t>
      </w:r>
    </w:p>
    <w:p>
      <w:pPr>
        <w:spacing w:before="400" w:after="100"/>
        <w:jc w:val="center"/>
      </w:pPr>
      <w:r>
        <w:rPr>
          <w:rFonts w:ascii="Arial" w:cs="Arial" w:eastAsia="Arial" w:hAnsi="Arial"/>
          <w:color w:val="444444"/>
          <w:sz w:val="22"/>
          <w:szCs w:val="22"/>
        </w:rPr>
        <w:t xml:space="preserve">Course: Software Engineering</w:t>
      </w:r>
    </w:p>
    <w:p>
      <w:pPr>
        <w:spacing w:before="60" w:after="60"/>
        <w:jc w:val="center"/>
      </w:pPr>
      <w:r>
        <w:rPr>
          <w:rFonts w:ascii="Arial" w:cs="Arial" w:eastAsia="Arial" w:hAnsi="Arial"/>
          <w:color w:val="444444"/>
          <w:sz w:val="22"/>
          <w:szCs w:val="22"/>
        </w:rPr>
        <w:t xml:space="preserve">Date: March 2026</w:t>
      </w:r>
    </w:p>
    <w:p>
      <w:pPr>
        <w:spacing w:before="800"/>
      </w:pPr>
      <w:r>
        <w:t xml:space="preserve"/>
      </w:r>
    </w:p>
    <w:p>
      <w:pPr>
        <w:pStyle w:val="Heading1"/>
        <w:spacing w:before="360" w:after="160"/>
      </w:pPr>
      <w:r>
        <w:rPr>
          <w:rFonts w:ascii="Arial" w:cs="Arial" w:eastAsia="Arial" w:hAnsi="Arial"/>
          <w:b/>
          <w:bCs/>
          <w:color w:val="1F3864"/>
          <w:sz w:val="28"/>
          <w:szCs w:val="28"/>
        </w:rPr>
        <w:t xml:space="preserve">Part 1: Strategic Model Selection (5 Marks)</w:t>
      </w:r>
    </w:p>
    <w:p>
      <w:pPr>
        <w:pStyle w:val="Heading2"/>
        <w:spacing w:before="240" w:after="120"/>
      </w:pPr>
      <w:r>
        <w:rPr>
          <w:rFonts w:ascii="Arial" w:cs="Arial" w:eastAsia="Arial" w:hAnsi="Arial"/>
          <w:b/>
          <w:bCs/>
          <w:color w:val="2E5596"/>
          <w:sz w:val="24"/>
          <w:szCs w:val="24"/>
        </w:rPr>
        <w:t xml:space="preserve">1.1  Overview: The Two Candidates</w:t>
      </w:r>
    </w:p>
    <w:p>
      <w:pPr>
        <w:spacing w:before="80" w:after="120" w:line="360"/>
      </w:pPr>
      <w:r>
        <w:rPr>
          <w:rFonts w:ascii="Arial" w:cs="Arial" w:eastAsia="Arial" w:hAnsi="Arial"/>
          <w:sz w:val="22"/>
          <w:szCs w:val="22"/>
        </w:rPr>
        <w:t xml:space="preserve">The CityFlow scenario presents two conflicting engineering pressures: a high-safety, risk-intensive physical system (an autonomous shuttle in a crowded terminal) combined with a volatile, ever-changing set of functional requirements (route and stopping points revised by the airport board). The question is which SDLC model best handles both simultaneously.</w:t>
      </w:r>
    </w:p>
    <w:p>
      <w:pPr>
        <w:spacing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rPr>
          <w:tblHeader/>
        </w:trPr>
        <w:tc>
          <w:tcPr>
            <w:tcW w:type="auto" w:w="0"/>
            <w:gridSpan w:val="1"/>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auto" w:w="0"/>
            <w:gridSpan w:val="1"/>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Spiral Model</w:t>
            </w:r>
          </w:p>
        </w:tc>
        <w:tc>
          <w:tcPr>
            <w:tcW w:type="auto" w:w="0"/>
            <w:gridSpan w:val="1"/>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Scrum (Agile)</w:t>
            </w:r>
          </w:p>
        </w:tc>
        <w:tc>
          <w:tcPr>
            <w:tcW w:type="auto" w:w="0"/>
            <w:gridSpan w:val="1"/>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XP (Agile)</w:t>
            </w:r>
          </w:p>
        </w:tc>
      </w:tr>
      <w:tr>
        <w:tc>
          <w:tcPr>
            <w:tcW w:type="auto" w:w="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Philosophy</w:t>
            </w:r>
          </w:p>
        </w:tc>
        <w:tc>
          <w:tcPr>
            <w:tcW w:type="auto" w:w="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"Risk First"</w:t>
            </w:r>
          </w:p>
        </w:tc>
        <w:tc>
          <w:tcPr>
            <w:tcW w:type="auto" w:w="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"Customer First"</w:t>
            </w:r>
          </w:p>
        </w:tc>
        <w:tc>
          <w:tcPr>
            <w:tcW w:type="auto" w:w="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"Code Quality First"</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Handling Change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iterations after full risk assessment</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Sprint Backlog refinement each sprint</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High; continuous integration + short cycles</w:t>
            </w:r>
          </w:p>
        </w:tc>
      </w:tr>
      <w:tr>
        <w:tc>
          <w:tcPr>
            <w:tcW w:type="auto" w:w="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Safety / Testing</w:t>
            </w:r>
          </w:p>
        </w:tc>
        <w:tc>
          <w:tcPr>
            <w:tcW w:type="auto" w:w="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Heavy formal V&amp;V; dedicated risk-analysis quadrant</w:t>
            </w:r>
          </w:p>
        </w:tc>
        <w:tc>
          <w:tcPr>
            <w:tcW w:type="auto" w:w="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Definition of Done; acceptance criteria per story</w:t>
            </w:r>
          </w:p>
        </w:tc>
        <w:tc>
          <w:tcPr>
            <w:tcW w:type="auto" w:w="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Unit tests &amp; pair programming; TDD-driven</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Documentation</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Extensive and formal (required for safety audits)</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Minimalist — just enough to ship</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IS the documentation</w:t>
            </w:r>
          </w:p>
        </w:tc>
      </w:tr>
      <w:tr>
        <w:tc>
          <w:tcPr>
            <w:tcW w:type="auto" w:w="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Regulatory Fit</w:t>
            </w:r>
          </w:p>
        </w:tc>
        <w:tc>
          <w:tcPr>
            <w:tcW w:type="auto" w:w="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Excellent — maps to ISO 26262, IEC 61508</w:t>
            </w:r>
          </w:p>
        </w:tc>
        <w:tc>
          <w:tcPr>
            <w:tcW w:type="auto" w:w="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Limited — requires supplementation</w:t>
            </w:r>
          </w:p>
        </w:tc>
        <w:tc>
          <w:tcPr>
            <w:tcW w:type="auto" w:w="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Limited — requires supplementation</w:t>
            </w:r>
          </w:p>
        </w:tc>
      </w:tr>
    </w:tbl>
    <w:p>
      <w:pPr>
        <w:spacing w:before="240"/>
      </w:pPr>
      <w:r>
        <w:t xml:space="preserve"/>
      </w:r>
    </w:p>
    <w:p>
      <w:pPr>
        <w:pStyle w:val="Heading2"/>
        <w:spacing w:before="240" w:after="120"/>
      </w:pPr>
      <w:r>
        <w:rPr>
          <w:rFonts w:ascii="Arial" w:cs="Arial" w:eastAsia="Arial" w:hAnsi="Arial"/>
          <w:b/>
          <w:bCs/>
          <w:color w:val="2E5596"/>
          <w:sz w:val="24"/>
          <w:szCs w:val="24"/>
        </w:rPr>
        <w:t xml:space="preserve">1.2  Recommendation: The Spiral Model</w:t>
      </w:r>
    </w:p>
    <w:p>
      <w:pPr>
        <w:spacing w:before="80" w:after="120" w:line="360"/>
      </w:pPr>
      <w:r>
        <w:rPr>
          <w:rFonts w:ascii="Arial" w:cs="Arial" w:eastAsia="Arial" w:hAnsi="Arial"/>
          <w:sz w:val="22"/>
          <w:szCs w:val="22"/>
        </w:rPr>
        <w:t xml:space="preserve">The Spiral Model is the optimal choice for the CityFlow project. The core justification rests on one overriding principle: when software directly controls a vehicle navigating crowds of passengers, safety risk must be the primary driver of every development decision — not feature velocity or customer satisfaction.</w:t>
      </w:r>
    </w:p>
    <w:p>
      <w:pPr>
        <w:spacing w:before="120"/>
      </w:pPr>
      <w:r>
        <w:rPr>
          <w:rFonts w:ascii="Arial" w:cs="Arial" w:eastAsia="Arial" w:hAnsi="Arial"/>
          <w:sz w:val="22"/>
          <w:szCs w:val="22"/>
        </w:rPr>
        <w:t xml:space="preserve">The Spiral Model's four-quadrant loop — Plan, Risk Analysis, Engineer, Evaluate — maps precisely to the CityFlow scenario:</w:t>
      </w:r>
    </w:p>
    <w:p>
      <w:pPr>
        <w:spacing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80"/>
        <w:gridCol w:w="4080"/>
      </w:tblGrid>
      <w:tr>
        <w:trPr>
          <w:tblHeader/>
        </w:trPr>
        <w:tc>
          <w:tcPr>
            <w:tcW w:type="auto" w:w="0"/>
            <w:gridSpan w:val="1"/>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Spiral Quadrant</w:t>
            </w:r>
          </w:p>
        </w:tc>
        <w:tc>
          <w:tcPr>
            <w:tcW w:type="auto" w:w="0"/>
            <w:gridSpan w:val="1"/>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Generic Activity</w:t>
            </w:r>
          </w:p>
        </w:tc>
        <w:tc>
          <w:tcPr>
            <w:tcW w:type="auto" w:w="0"/>
            <w:gridSpan w:val="1"/>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CityFlow Mapping</w:t>
            </w:r>
          </w:p>
        </w:tc>
      </w:tr>
      <w:tr>
        <w:tc>
          <w:tcPr>
            <w:tcW w:type="auto" w:w="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1. Planning</w:t>
            </w:r>
          </w:p>
        </w:tc>
        <w:tc>
          <w:tcPr>
            <w:tcW w:type="auto" w:w="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Define objectives &amp; constraints</w:t>
            </w:r>
          </w:p>
        </w:tc>
        <w:tc>
          <w:tcPr>
            <w:tcW w:type="auto" w:w="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Document route specs, safety standards (ISO 26262), Launch Day deadline</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Risk Analysis</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Identify &amp; resolve risks via prototypes</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Prototype obstacle-detection; simulate collision scenarios; evaluate LIDAR accuracy</w:t>
            </w:r>
          </w:p>
        </w:tc>
      </w:tr>
      <w:tr>
        <w:tc>
          <w:tcPr>
            <w:tcW w:type="auto" w:w="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3. Engineering</w:t>
            </w:r>
          </w:p>
        </w:tc>
        <w:tc>
          <w:tcPr>
            <w:tcW w:type="auto" w:w="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Build and verify current iteration</w:t>
            </w:r>
          </w:p>
        </w:tc>
        <w:tc>
          <w:tcPr>
            <w:tcW w:type="auto" w:w="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Develop navigation subsystem, route engine, emergency brake module with full V&amp;V</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Evaluation</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reviews outcome, feeds next spiral</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Airport board reviews routes, foot-traffic data; changes feed the next iteration</w:t>
            </w:r>
          </w:p>
        </w:tc>
      </w:tr>
    </w:tbl>
    <w:p>
      <w:pPr>
        <w:spacing w:before="240"/>
      </w:pPr>
      <w:r>
        <w:t xml:space="preserve"/>
      </w:r>
    </w:p>
    <w:p>
      <w:pPr>
        <w:pStyle w:val="Heading2"/>
        <w:spacing w:before="240" w:after="120"/>
      </w:pPr>
      <w:r>
        <w:rPr>
          <w:rFonts w:ascii="Arial" w:cs="Arial" w:eastAsia="Arial" w:hAnsi="Arial"/>
          <w:b/>
          <w:bCs/>
          <w:color w:val="2E5596"/>
          <w:sz w:val="24"/>
          <w:szCs w:val="24"/>
        </w:rPr>
        <w:t xml:space="preserve">1.3  Why Not Scrum or XP?</w:t>
      </w:r>
    </w:p>
    <w:p>
      <w:pPr>
        <w:spacing w:before="80" w:after="120" w:line="360"/>
      </w:pPr>
      <w:r>
        <w:rPr>
          <w:rFonts w:ascii="Arial" w:cs="Arial" w:eastAsia="Arial" w:hAnsi="Arial"/>
          <w:sz w:val="22"/>
          <w:szCs w:val="22"/>
        </w:rPr>
        <w:t xml:space="preserve">Scrum and XP excel at delivering working software quickly with high responsiveness to change. However, both models carry critical limitations in a safety-critical autonomous vehicle context:</w:t>
      </w:r>
    </w:p>
    <w:p>
      <w:pPr>
        <w:pStyle w:val="ListParagraph"/>
        <w:numPr>
          <w:ilvl w:val="0"/>
          <w:numId w:val="2"/>
        </w:numPr>
        <w:spacing w:before="60" w:after="60"/>
      </w:pPr>
      <w:r>
        <w:rPr>
          <w:rFonts w:ascii="Arial" w:cs="Arial" w:eastAsia="Arial" w:hAnsi="Arial"/>
          <w:sz w:val="22"/>
          <w:szCs w:val="22"/>
        </w:rPr>
        <w:t xml:space="preserve">No formal risk-analysis phase: Neither model mandates a dedicated risk assessment step. In a 2-week sprint cycle, a newly discovered collision scenario could be deprioritised against feature work.</w:t>
      </w:r>
    </w:p>
    <w:p>
      <w:pPr>
        <w:pStyle w:val="ListParagraph"/>
        <w:numPr>
          <w:ilvl w:val="0"/>
          <w:numId w:val="2"/>
        </w:numPr>
        <w:spacing w:before="60" w:after="60"/>
      </w:pPr>
      <w:r>
        <w:rPr>
          <w:rFonts w:ascii="Arial" w:cs="Arial" w:eastAsia="Arial" w:hAnsi="Arial"/>
          <w:sz w:val="22"/>
          <w:szCs w:val="22"/>
        </w:rPr>
        <w:t xml:space="preserve">Documentation deficit: Regulatory frameworks for autonomous vehicles (e.g., ISO 26262 for functional safety) require formal hazard analyses, FMEA reports, and traceability matrices. XP's philosophy — "code is documentation" — is incompatible with this requirement.</w:t>
      </w:r>
    </w:p>
    <w:p>
      <w:pPr>
        <w:pStyle w:val="ListParagraph"/>
        <w:numPr>
          <w:ilvl w:val="0"/>
          <w:numId w:val="2"/>
        </w:numPr>
        <w:spacing w:before="60" w:after="60"/>
      </w:pPr>
      <w:r>
        <w:rPr>
          <w:rFonts w:ascii="Arial" w:cs="Arial" w:eastAsia="Arial" w:hAnsi="Arial"/>
          <w:sz w:val="22"/>
          <w:szCs w:val="22"/>
        </w:rPr>
        <w:t xml:space="preserve">Change without gate-keeping: Scrum's Sprint Backlog refinement allows route changes to enter development without a full safety impact assessment. This is dangerous when a route change might expose the shuttle to a previously unanalysed pedestrian density zone.</w:t>
      </w:r>
    </w:p>
    <w:p>
      <w:pPr>
        <w:pStyle w:val="ListParagraph"/>
        <w:numPr>
          <w:ilvl w:val="0"/>
          <w:numId w:val="2"/>
        </w:numPr>
        <w:spacing w:before="60" w:after="60"/>
      </w:pPr>
      <w:r>
        <w:rPr>
          <w:rFonts w:ascii="Arial" w:cs="Arial" w:eastAsia="Arial" w:hAnsi="Arial"/>
          <w:sz w:val="22"/>
          <w:szCs w:val="22"/>
        </w:rPr>
        <w:t xml:space="preserve">Definition of Done is insufficient: A Scrum "Definition of Done" cannot substitute for the formal Verification &amp; Validation mandated for physical systems operating near humans.</w:t>
      </w:r>
    </w:p>
    <w:p>
      <w:pPr>
        <w:spacing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596" w:sz="4"/>
              <w:left w:val="thick" w:color="2E5596" w:sz="12"/>
              <w:bottom w:val="single" w:color="2E5596" w:sz="4"/>
              <w:right w:val="single" w:color="CCCCCC" w:sz="1"/>
            </w:tcBorders>
            <w:shd w:fill="D6E4F7" w:val="clear"/>
            <w:tcMar>
              <w:top w:type="dxa" w:w="100"/>
              <w:left w:type="dxa" w:w="160"/>
              <w:bottom w:type="dxa" w:w="100"/>
              <w:right w:type="dxa" w:w="160"/>
            </w:tcMar>
          </w:tcPr>
          <w:p>
            <w:r>
              <w:rPr>
                <w:rFonts w:ascii="Arial" w:cs="Arial" w:eastAsia="Arial" w:hAnsi="Arial"/>
                <w:b/>
                <w:bCs/>
                <w:color w:val="1F3864"/>
                <w:sz w:val="20"/>
                <w:szCs w:val="20"/>
              </w:rPr>
              <w:t xml:space="preserve">Conclusion: </w:t>
            </w:r>
            <w:r>
              <w:rPr>
                <w:rFonts w:ascii="Arial" w:cs="Arial" w:eastAsia="Arial" w:hAnsi="Arial"/>
                <w:color w:val="1F3864"/>
                <w:sz w:val="20"/>
                <w:szCs w:val="20"/>
              </w:rPr>
              <w:t xml:space="preserve">The Spiral Model handles the airport board's frequent changes through the Evaluation quadrant at the end of each spiral — every route update triggers a new planning and risk-analysis iteration before engineering begins. This ensures that no requirement change bypasses a safety assessment. It uniquely satisfies both constraints simultaneously.</w:t>
            </w:r>
          </w:p>
        </w:tc>
      </w:tr>
    </w:tbl>
    <w:p>
      <w:pPr>
        <w:spacing w:before="240"/>
      </w:pPr>
      <w:r>
        <w:t xml:space="preserve"/>
      </w:r>
    </w:p>
    <w:p>
      <w:pPr>
        <w:pBdr>
          <w:bottom w:val="single" w:color="2E5596" w:sz="4" w:space="1"/>
        </w:pBdr>
        <w:spacing w:before="200" w:after="200"/>
      </w:pPr>
      <w:r>
        <w:t xml:space="preserve"/>
      </w:r>
    </w:p>
    <w:p>
      <w:pPr>
        <w:pStyle w:val="Heading1"/>
        <w:spacing w:before="360" w:after="160"/>
      </w:pPr>
      <w:r>
        <w:rPr>
          <w:rFonts w:ascii="Arial" w:cs="Arial" w:eastAsia="Arial" w:hAnsi="Arial"/>
          <w:b/>
          <w:bCs/>
          <w:color w:val="1F3864"/>
          <w:sz w:val="28"/>
          <w:szCs w:val="28"/>
        </w:rPr>
        <w:t xml:space="preserve">Part 2: The Professional Dilemma (5 Marks)</w:t>
      </w:r>
    </w:p>
    <w:p>
      <w:pPr>
        <w:pStyle w:val="Heading2"/>
        <w:spacing w:before="240" w:after="120"/>
      </w:pPr>
      <w:r>
        <w:rPr>
          <w:rFonts w:ascii="Arial" w:cs="Arial" w:eastAsia="Arial" w:hAnsi="Arial"/>
          <w:b/>
          <w:bCs/>
          <w:color w:val="2E5596"/>
          <w:sz w:val="24"/>
          <w:szCs w:val="24"/>
        </w:rPr>
        <w:t xml:space="preserve">2.1  The Situation</w:t>
      </w:r>
    </w:p>
    <w:p>
      <w:pPr>
        <w:spacing w:before="80" w:after="120" w:line="360"/>
      </w:pPr>
      <w:r>
        <w:rPr>
          <w:rFonts w:ascii="Arial" w:cs="Arial" w:eastAsia="Arial" w:hAnsi="Arial"/>
          <w:sz w:val="22"/>
          <w:szCs w:val="22"/>
        </w:rPr>
        <w:t xml:space="preserve">Two weeks before Launch Day, a bug is discovered in the Emergency Brake module. The failure probability is 0.01% per invocation. The project manager proposes proceeding with launch and patching the defect post-ceremony, citing the low probability as justification.</w:t>
      </w:r>
    </w:p>
    <w:p>
      <w:pPr>
        <w:spacing w:before="80" w:after="120" w:line="360"/>
      </w:pPr>
      <w:r>
        <w:rPr>
          <w:rFonts w:ascii="Arial" w:cs="Arial" w:eastAsia="Arial" w:hAnsi="Arial"/>
          <w:sz w:val="22"/>
          <w:szCs w:val="22"/>
        </w:rPr>
        <w:t xml:space="preserve">This proposal must be rejected. The following analysis explains the response through the lens of the ACM/IEEE Software Engineering Code of Ethics.</w:t>
      </w:r>
    </w:p>
    <w:p>
      <w:pPr>
        <w:spacing w:before="160"/>
      </w:pPr>
      <w:r>
        <w:t xml:space="preserve"/>
      </w:r>
    </w:p>
    <w:p>
      <w:pPr>
        <w:pStyle w:val="Heading2"/>
        <w:spacing w:before="240" w:after="120"/>
      </w:pPr>
      <w:r>
        <w:rPr>
          <w:rFonts w:ascii="Arial" w:cs="Arial" w:eastAsia="Arial" w:hAnsi="Arial"/>
          <w:b/>
          <w:bCs/>
          <w:color w:val="2E5596"/>
          <w:sz w:val="24"/>
          <w:szCs w:val="24"/>
        </w:rPr>
        <w:t xml:space="preserve">2.2  Response to the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596" w:sz="4"/>
              <w:left w:val="thick" w:color="2E5596" w:sz="12"/>
              <w:bottom w:val="single" w:color="2E5596" w:sz="4"/>
              <w:right w:val="single" w:color="CCCCCC" w:sz="1"/>
            </w:tcBorders>
            <w:shd w:fill="D6E4F7" w:val="clear"/>
            <w:tcMar>
              <w:top w:type="dxa" w:w="100"/>
              <w:left w:type="dxa" w:w="160"/>
              <w:bottom w:type="dxa" w:w="100"/>
              <w:right w:type="dxa" w:w="160"/>
            </w:tcMar>
          </w:tcPr>
          <w:p>
            <w:r>
              <w:rPr>
                <w:rFonts w:ascii="Arial" w:cs="Arial" w:eastAsia="Arial" w:hAnsi="Arial"/>
                <w:b/>
                <w:bCs/>
                <w:color w:val="1F3864"/>
                <w:sz w:val="20"/>
                <w:szCs w:val="20"/>
              </w:rPr>
              <w:t xml:space="preserve">Position: </w:t>
            </w:r>
            <w:r>
              <w:rPr>
                <w:rFonts w:ascii="Arial" w:cs="Arial" w:eastAsia="Arial" w:hAnsi="Arial"/>
                <w:color w:val="1F3864"/>
                <w:sz w:val="20"/>
                <w:szCs w:val="20"/>
              </w:rPr>
              <w:t xml:space="preserve">Launching with a known defect in a safety-critical module — regardless of failure probability — is a violation of professional and ethical obligations. The correct course of action is to defer launch until the defect is fully resolved and retested.</w:t>
            </w:r>
          </w:p>
        </w:tc>
      </w:tr>
    </w:tbl>
    <w:p>
      <w:pPr>
        <w:spacing w:before="160"/>
      </w:pPr>
      <w:r>
        <w:t xml:space="preserve"/>
      </w:r>
    </w:p>
    <w:p>
      <w:pPr>
        <w:spacing w:before="80" w:after="120" w:line="360"/>
      </w:pPr>
      <w:r>
        <w:rPr>
          <w:rFonts w:ascii="Arial" w:cs="Arial" w:eastAsia="Arial" w:hAnsi="Arial"/>
          <w:sz w:val="22"/>
          <w:szCs w:val="22"/>
        </w:rPr>
        <w:t xml:space="preserve">The manager's reasoning confuses statistical rarity with acceptable risk. A 0.01% failure rate on an emergency braking system is not low risk — it is a quantified risk of brake failure in a passenger environment. Key counter-arguments:</w:t>
      </w:r>
    </w:p>
    <w:p>
      <w:pPr>
        <w:pStyle w:val="ListParagraph"/>
        <w:numPr>
          <w:ilvl w:val="0"/>
          <w:numId w:val="2"/>
        </w:numPr>
        <w:spacing w:before="60" w:after="60"/>
      </w:pPr>
      <w:r>
        <w:rPr>
          <w:rFonts w:ascii="Arial" w:cs="Arial" w:eastAsia="Arial" w:hAnsi="Arial"/>
          <w:sz w:val="22"/>
          <w:szCs w:val="22"/>
        </w:rPr>
        <w:t xml:space="preserve">Volume amplification: If the shuttle completes 500 emergency brake activations in its first year, a 0.01% failure rate translates statistically to at least one failure event in that period.</w:t>
      </w:r>
    </w:p>
    <w:p>
      <w:pPr>
        <w:pStyle w:val="ListParagraph"/>
        <w:numPr>
          <w:ilvl w:val="0"/>
          <w:numId w:val="2"/>
        </w:numPr>
        <w:spacing w:before="60" w:after="60"/>
      </w:pPr>
      <w:r>
        <w:rPr>
          <w:rFonts w:ascii="Arial" w:cs="Arial" w:eastAsia="Arial" w:hAnsi="Arial"/>
          <w:sz w:val="22"/>
          <w:szCs w:val="22"/>
        </w:rPr>
        <w:t xml:space="preserve">Severity asymmetry: The consequence of an emergency brake failure is not a software crash or data error — it is a potential collision causing serious physical injury or death to airport passengers.</w:t>
      </w:r>
    </w:p>
    <w:p>
      <w:pPr>
        <w:pStyle w:val="ListParagraph"/>
        <w:numPr>
          <w:ilvl w:val="0"/>
          <w:numId w:val="2"/>
        </w:numPr>
        <w:spacing w:before="60" w:after="60"/>
      </w:pPr>
      <w:r>
        <w:rPr>
          <w:rFonts w:ascii="Arial" w:cs="Arial" w:eastAsia="Arial" w:hAnsi="Arial"/>
          <w:sz w:val="22"/>
          <w:szCs w:val="22"/>
        </w:rPr>
        <w:t xml:space="preserve">Post-launch patching is not viable: An autonomous vehicle operating in a live airport environment cannot receive a mid-operation software patch. There is no equivalent of a "hotfix" that is safe to deploy while the shuttle is in service with passengers on board.</w:t>
      </w:r>
    </w:p>
    <w:p>
      <w:pPr>
        <w:pStyle w:val="ListParagraph"/>
        <w:numPr>
          <w:ilvl w:val="0"/>
          <w:numId w:val="2"/>
        </w:numPr>
        <w:spacing w:before="60" w:after="60"/>
      </w:pPr>
      <w:r>
        <w:rPr>
          <w:rFonts w:ascii="Arial" w:cs="Arial" w:eastAsia="Arial" w:hAnsi="Arial"/>
          <w:sz w:val="22"/>
          <w:szCs w:val="22"/>
        </w:rPr>
        <w:t xml:space="preserve">Legal and liability exposure: Proceeding with a documented known defect removes the "good faith" defence in any subsequent legal action. It creates organisational liability for CityFlow and potentially personal liability for the engineers who signed off on deployment.</w:t>
      </w:r>
    </w:p>
    <w:p>
      <w:pPr>
        <w:spacing w:before="160"/>
      </w:pPr>
      <w:r>
        <w:t xml:space="preserve"/>
      </w:r>
    </w:p>
    <w:p>
      <w:pPr>
        <w:pStyle w:val="Heading2"/>
        <w:spacing w:before="240" w:after="120"/>
      </w:pPr>
      <w:r>
        <w:rPr>
          <w:rFonts w:ascii="Arial" w:cs="Arial" w:eastAsia="Arial" w:hAnsi="Arial"/>
          <w:b/>
          <w:bCs/>
          <w:color w:val="2E5596"/>
          <w:sz w:val="24"/>
          <w:szCs w:val="24"/>
        </w:rPr>
        <w:t xml:space="preserve">2.3  ACM/IEEE Code of Ethics — Applicable Principles</w:t>
      </w:r>
    </w:p>
    <w:p>
      <w:pPr>
        <w:spacing w:before="80" w:after="120" w:line="360"/>
      </w:pPr>
      <w:r>
        <w:rPr>
          <w:rFonts w:ascii="Arial" w:cs="Arial" w:eastAsia="Arial" w:hAnsi="Arial"/>
          <w:sz w:val="22"/>
          <w:szCs w:val="22"/>
        </w:rPr>
        <w:t xml:space="preserve">The Software Engineering Code of Ethics (ACM/IEEE-CS, 1999) provides the definitive professional framework for this decision. The following principles are directly at stake:</w:t>
      </w:r>
    </w:p>
    <w:p>
      <w:pPr>
        <w:spacing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6120"/>
      </w:tblGrid>
      <w:tr>
        <w:trPr>
          <w:tblHeader/>
        </w:trPr>
        <w:tc>
          <w:tcPr>
            <w:tcW w:type="auto" w:w="0"/>
            <w:gridSpan w:val="1"/>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Principle</w:t>
            </w:r>
          </w:p>
        </w:tc>
        <w:tc>
          <w:tcPr>
            <w:tcW w:type="auto" w:w="0"/>
            <w:gridSpan w:val="1"/>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Clause</w:t>
            </w:r>
          </w:p>
        </w:tc>
        <w:tc>
          <w:tcPr>
            <w:tcW w:type="auto" w:w="0"/>
            <w:gridSpan w:val="1"/>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Application to CityFlow</w:t>
            </w:r>
          </w:p>
        </w:tc>
      </w:tr>
      <w:tr>
        <w:tc>
          <w:tcPr>
            <w:tcW w:type="auto" w:w="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1. PUBLIC</w:t>
            </w:r>
          </w:p>
        </w:tc>
        <w:tc>
          <w:tcPr>
            <w:tcW w:type="auto" w:w="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1.02</w:t>
            </w:r>
          </w:p>
        </w:tc>
        <w:tc>
          <w:tcPr>
            <w:tcW w:type="auto" w:w="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Act consistently with the public interest. The public (airport passengers) must be protected from known software risks.</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PUBLIC</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1.03</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Approve software only if there is a well-founded belief that it is safe. A known brake defect invalidates this belief.</w:t>
            </w:r>
          </w:p>
        </w:tc>
      </w:tr>
      <w:tr>
        <w:tc>
          <w:tcPr>
            <w:tcW w:type="auto" w:w="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2. CLIENT &amp; EMPLOYER</w:t>
            </w:r>
          </w:p>
        </w:tc>
        <w:tc>
          <w:tcPr>
            <w:tcW w:type="auto" w:w="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2.06</w:t>
            </w:r>
          </w:p>
        </w:tc>
        <w:tc>
          <w:tcPr>
            <w:tcW w:type="auto" w:w="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Identify, document, and report any issues that could harm the client or employer. The engineer is obligated to formally document this defect and its risk.</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PRODUCT</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3.04</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Ensure that software meets the highest professional standards. Emergency Brake is not meeting those standards if a known failure mode exists.</w:t>
            </w:r>
          </w:p>
        </w:tc>
      </w:tr>
      <w:tr>
        <w:tc>
          <w:tcPr>
            <w:tcW w:type="auto" w:w="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3. PRODUCT</w:t>
            </w:r>
          </w:p>
        </w:tc>
        <w:tc>
          <w:tcPr>
            <w:tcW w:type="auto" w:w="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3.07</w:t>
            </w:r>
          </w:p>
        </w:tc>
        <w:tc>
          <w:tcPr>
            <w:tcW w:type="auto" w:w="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Strive to fully understand specifications before software is deployed. A defective safety spec must be corrected, not deferred.</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PROFESSION</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6.06</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Take responsibility for detecting, correcting, and reporting errors. The engineer who stays silent on a known safety defect violates this principle.</w:t>
            </w:r>
          </w:p>
        </w:tc>
      </w:tr>
      <w:tr>
        <w:tc>
          <w:tcPr>
            <w:tcW w:type="auto" w:w="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7. COLLEAGUES</w:t>
            </w:r>
          </w:p>
        </w:tc>
        <w:tc>
          <w:tcPr>
            <w:tcW w:type="auto" w:w="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7.02</w:t>
            </w:r>
          </w:p>
        </w:tc>
        <w:tc>
          <w:tcPr>
            <w:tcW w:type="auto" w:w="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Assist colleagues in adhering to the Code. The engineer should help management understand the ethical obligation, not simply comply with an unsafe directive.</w:t>
            </w:r>
          </w:p>
        </w:tc>
      </w:tr>
    </w:tbl>
    <w:p>
      <w:pPr>
        <w:spacing w:before="240"/>
      </w:pPr>
      <w:r>
        <w:t xml:space="preserve"/>
      </w:r>
    </w:p>
    <w:p>
      <w:pPr>
        <w:pStyle w:val="Heading2"/>
        <w:spacing w:before="240" w:after="120"/>
      </w:pPr>
      <w:r>
        <w:rPr>
          <w:rFonts w:ascii="Arial" w:cs="Arial" w:eastAsia="Arial" w:hAnsi="Arial"/>
          <w:b/>
          <w:bCs/>
          <w:color w:val="2E5596"/>
          <w:sz w:val="24"/>
          <w:szCs w:val="24"/>
        </w:rPr>
        <w:t xml:space="preserve">2.4  Professional Standards at Stake</w:t>
      </w:r>
    </w:p>
    <w:p>
      <w:pPr>
        <w:spacing w:before="80" w:after="120" w:line="360"/>
      </w:pPr>
      <w:r>
        <w:rPr>
          <w:rFonts w:ascii="Arial" w:cs="Arial" w:eastAsia="Arial" w:hAnsi="Arial"/>
          <w:sz w:val="22"/>
          <w:szCs w:val="22"/>
        </w:rPr>
        <w:t xml:space="preserve">Beyond the Code of Ethics, the following formal professional standards are implicated:</w:t>
      </w:r>
    </w:p>
    <w:p>
      <w:pPr>
        <w:pStyle w:val="ListParagraph"/>
        <w:numPr>
          <w:ilvl w:val="0"/>
          <w:numId w:val="2"/>
        </w:numPr>
        <w:spacing w:before="60" w:after="60"/>
      </w:pPr>
      <w:r>
        <w:rPr>
          <w:rFonts w:ascii="Arial" w:cs="Arial" w:eastAsia="Arial" w:hAnsi="Arial"/>
          <w:sz w:val="22"/>
          <w:szCs w:val="22"/>
        </w:rPr>
        <w:t xml:space="preserve">ISO 26262 (Functional Safety for Road Vehicles / Autonomous Systems): Mandates that all safety requirements must be verified before system deployment. A known failure in an ASIL-rated safety function (Emergency Brake) cannot be deferred.</w:t>
      </w:r>
    </w:p>
    <w:p>
      <w:pPr>
        <w:pStyle w:val="ListParagraph"/>
        <w:numPr>
          <w:ilvl w:val="0"/>
          <w:numId w:val="2"/>
        </w:numPr>
        <w:spacing w:before="60" w:after="60"/>
      </w:pPr>
      <w:r>
        <w:rPr>
          <w:rFonts w:ascii="Arial" w:cs="Arial" w:eastAsia="Arial" w:hAnsi="Arial"/>
          <w:sz w:val="22"/>
          <w:szCs w:val="22"/>
        </w:rPr>
        <w:t xml:space="preserve">IEC 61508 (Functional Safety of E/E Systems): Requires that residual risk must be reduced to an acceptable level before commissioning. A quantified failure mode that has not been patched does not meet this threshold.</w:t>
      </w:r>
    </w:p>
    <w:p>
      <w:pPr>
        <w:pStyle w:val="ListParagraph"/>
        <w:numPr>
          <w:ilvl w:val="0"/>
          <w:numId w:val="2"/>
        </w:numPr>
        <w:spacing w:before="60" w:after="60"/>
      </w:pPr>
      <w:r>
        <w:rPr>
          <w:rFonts w:ascii="Arial" w:cs="Arial" w:eastAsia="Arial" w:hAnsi="Arial"/>
          <w:sz w:val="22"/>
          <w:szCs w:val="22"/>
        </w:rPr>
        <w:t xml:space="preserve">IEEE Std 730 (Software Quality Assurance): Requires a formal SQA process that tracks all defects to resolution prior to release. Deferring a defect in a safety-critical module violates the SQA plan.</w:t>
      </w:r>
    </w:p>
    <w:p>
      <w:pPr>
        <w:pStyle w:val="ListParagraph"/>
        <w:numPr>
          <w:ilvl w:val="0"/>
          <w:numId w:val="2"/>
        </w:numPr>
        <w:spacing w:before="60" w:after="60"/>
      </w:pPr>
      <w:r>
        <w:rPr>
          <w:rFonts w:ascii="Arial" w:cs="Arial" w:eastAsia="Arial" w:hAnsi="Arial"/>
          <w:sz w:val="22"/>
          <w:szCs w:val="22"/>
        </w:rPr>
        <w:t xml:space="preserve">ACM Code of Ethics, Principle 1 (Public): Software engineers shall act consistently with the public interest as the highest priority — above employer commercial interests, including contract penalties.</w:t>
      </w:r>
    </w:p>
    <w:p>
      <w:pPr>
        <w:spacing w:before="160"/>
      </w:pPr>
      <w:r>
        <w:t xml:space="preserve"/>
      </w:r>
    </w:p>
    <w:p>
      <w:pPr>
        <w:pStyle w:val="Heading2"/>
        <w:spacing w:before="240" w:after="120"/>
      </w:pPr>
      <w:r>
        <w:rPr>
          <w:rFonts w:ascii="Arial" w:cs="Arial" w:eastAsia="Arial" w:hAnsi="Arial"/>
          <w:b/>
          <w:bCs/>
          <w:color w:val="2E5596"/>
          <w:sz w:val="24"/>
          <w:szCs w:val="24"/>
        </w:rPr>
        <w:t xml:space="preserve">2.5  Recommended Course of Action</w:t>
      </w:r>
    </w:p>
    <w:p>
      <w:pPr>
        <w:spacing w:before="80" w:after="120" w:line="360"/>
      </w:pPr>
      <w:r>
        <w:rPr>
          <w:rFonts w:ascii="Arial" w:cs="Arial" w:eastAsia="Arial" w:hAnsi="Arial"/>
          <w:sz w:val="22"/>
          <w:szCs w:val="22"/>
        </w:rPr>
        <w:t xml:space="preserve">The correct professional response involves four concrete steps:</w:t>
      </w:r>
    </w:p>
    <w:p>
      <w:pPr>
        <w:pStyle w:val="ListParagraph"/>
        <w:numPr>
          <w:ilvl w:val="0"/>
          <w:numId w:val="2"/>
        </w:numPr>
        <w:spacing w:before="60" w:after="60"/>
      </w:pPr>
      <w:r>
        <w:rPr>
          <w:rFonts w:ascii="Arial" w:cs="Arial" w:eastAsia="Arial" w:hAnsi="Arial"/>
          <w:sz w:val="22"/>
          <w:szCs w:val="22"/>
        </w:rPr>
        <w:t xml:space="preserve">Formally document the defect, its reproduction conditions, and the 0.01% failure probability in the project's defect tracking system.</w:t>
      </w:r>
    </w:p>
    <w:p>
      <w:pPr>
        <w:pStyle w:val="ListParagraph"/>
        <w:numPr>
          <w:ilvl w:val="0"/>
          <w:numId w:val="2"/>
        </w:numPr>
        <w:spacing w:before="60" w:after="60"/>
      </w:pPr>
      <w:r>
        <w:rPr>
          <w:rFonts w:ascii="Arial" w:cs="Arial" w:eastAsia="Arial" w:hAnsi="Arial"/>
          <w:sz w:val="22"/>
          <w:szCs w:val="22"/>
        </w:rPr>
        <w:t xml:space="preserve">Escalate in writing to project management and CityFlow leadership, citing the specific Code of Ethics principles and safety standards that prohibit launch with a known brake defect.</w:t>
      </w:r>
    </w:p>
    <w:p>
      <w:pPr>
        <w:pStyle w:val="ListParagraph"/>
        <w:numPr>
          <w:ilvl w:val="0"/>
          <w:numId w:val="2"/>
        </w:numPr>
        <w:spacing w:before="60" w:after="60"/>
      </w:pPr>
      <w:r>
        <w:rPr>
          <w:rFonts w:ascii="Arial" w:cs="Arial" w:eastAsia="Arial" w:hAnsi="Arial"/>
          <w:sz w:val="22"/>
          <w:szCs w:val="22"/>
        </w:rPr>
        <w:t xml:space="preserve">Propose a revised launch timeline: fix, regression-test, and re-validate the Emergency Brake module before any public-facing launch event.</w:t>
      </w:r>
    </w:p>
    <w:p>
      <w:pPr>
        <w:pStyle w:val="ListParagraph"/>
        <w:numPr>
          <w:ilvl w:val="0"/>
          <w:numId w:val="2"/>
        </w:numPr>
        <w:spacing w:before="60" w:after="60"/>
      </w:pPr>
      <w:r>
        <w:rPr>
          <w:rFonts w:ascii="Arial" w:cs="Arial" w:eastAsia="Arial" w:hAnsi="Arial"/>
          <w:sz w:val="22"/>
          <w:szCs w:val="22"/>
        </w:rPr>
        <w:t xml:space="preserve">If management proceeds over this objection, invoke whistleblower protections and consider reporting to the relevant professional body or regulatory authority (e.g., transport safety regulator) — as required under Principle 1.03 of the Code.</w:t>
      </w:r>
    </w:p>
    <w:p>
      <w:pPr>
        <w:spacing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596" w:sz="4"/>
              <w:left w:val="thick" w:color="2E5596" w:sz="12"/>
              <w:bottom w:val="single" w:color="2E5596" w:sz="4"/>
              <w:right w:val="single" w:color="CCCCCC" w:sz="1"/>
            </w:tcBorders>
            <w:shd w:fill="D6E4F7" w:val="clear"/>
            <w:tcMar>
              <w:top w:type="dxa" w:w="100"/>
              <w:left w:type="dxa" w:w="160"/>
              <w:bottom w:type="dxa" w:w="100"/>
              <w:right w:type="dxa" w:w="160"/>
            </w:tcMar>
          </w:tcPr>
          <w:p>
            <w:r>
              <w:rPr>
                <w:rFonts w:ascii="Arial" w:cs="Arial" w:eastAsia="Arial" w:hAnsi="Arial"/>
                <w:b/>
                <w:bCs/>
                <w:color w:val="1F3864"/>
                <w:sz w:val="20"/>
                <w:szCs w:val="20"/>
              </w:rPr>
              <w:t xml:space="preserve">Final Judgement: </w:t>
            </w:r>
            <w:r>
              <w:rPr>
                <w:rFonts w:ascii="Arial" w:cs="Arial" w:eastAsia="Arial" w:hAnsi="Arial"/>
                <w:color w:val="1F3864"/>
                <w:sz w:val="20"/>
                <w:szCs w:val="20"/>
              </w:rPr>
              <w:t xml:space="preserve">The financial penalty for missing Launch Day is a business risk. A brake failure in a crowded airport terminal is a human safety risk. The Software Engineering Code of Ethics is unambiguous: public safety takes precedence over commercial obligations. The launch must be delayed.</w:t>
            </w:r>
          </w:p>
        </w:tc>
      </w:tr>
    </w:tbl>
    <w:p>
      <w:pPr>
        <w:spacing w:before="240"/>
      </w:pPr>
      <w:r>
        <w:t xml:space="preserve"/>
      </w:r>
    </w:p>
    <w:p>
      <w:pPr>
        <w:pBdr>
          <w:bottom w:val="single" w:color="2E5596" w:sz="4" w:space="1"/>
        </w:pBdr>
        <w:spacing w:before="200" w:after="200"/>
      </w:pPr>
      <w:r>
        <w:t xml:space="preserve"/>
      </w:r>
    </w:p>
    <w:p>
      <w:pPr>
        <w:spacing w:before="160" w:after="40"/>
        <w:jc w:val="center"/>
      </w:pPr>
      <w:r>
        <w:rPr>
          <w:rFonts w:ascii="Arial" w:cs="Arial" w:eastAsia="Arial" w:hAnsi="Arial"/>
          <w:i/>
          <w:iCs/>
          <w:color w:val="888888"/>
          <w:sz w:val="20"/>
          <w:szCs w:val="20"/>
        </w:rPr>
        <w:t xml:space="preserve">End of Assignment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55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2026-03-07T15:59:14.653Z</dcterms:created>
  <dcterms:modified xsi:type="dcterms:W3CDTF">2026-03-07T15:59:14.654Z</dcterms:modified>
</cp:coreProperties>
</file>

<file path=docProps/custom.xml><?xml version="1.0" encoding="utf-8"?>
<Properties xmlns="http://schemas.openxmlformats.org/officeDocument/2006/custom-properties" xmlns:vt="http://schemas.openxmlformats.org/officeDocument/2006/docPropsVTypes"/>
</file>