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F4E79"/>
          <w:sz w:val="44"/>
        </w:rPr>
        <w:t>Non-Functional Requirements Specification</w:t>
      </w:r>
    </w:p>
    <w:p>
      <w:pPr>
        <w:spacing w:after="360"/>
      </w:pPr>
      <w:r>
        <w:rPr>
          <w:rFonts w:ascii="Arial" w:hAnsi="Arial"/>
          <w:i/>
          <w:color w:val="595959"/>
          <w:sz w:val="24"/>
        </w:rPr>
        <w:t>Project: Computer Vision and AI-Based Construction Site Monitoring via Satellite Imagery</w:t>
      </w:r>
    </w:p>
    <w:p>
      <w:pPr>
        <w:keepNext/>
        <w:spacing w:before="280" w:after="120"/>
      </w:pPr>
      <w:r>
        <w:rPr>
          <w:rFonts w:ascii="Arial" w:hAnsi="Arial"/>
          <w:b/>
          <w:color w:val="1F4E79"/>
          <w:sz w:val="28"/>
        </w:rPr>
        <w:t>1. Performance &amp; Response Time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1440"/>
            <w:shd w:fill="1F4E79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Req ID</w:t>
            </w:r>
          </w:p>
        </w:tc>
        <w:tc>
          <w:tcPr>
            <w:tcW w:type="dxa" w:w="2880"/>
            <w:shd w:fill="1F4E79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Requirement Name</w:t>
            </w:r>
          </w:p>
        </w:tc>
        <w:tc>
          <w:tcPr>
            <w:tcW w:type="dxa" w:w="5040"/>
            <w:shd w:fill="1F4E79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Quantitative Metric / Non-Functional Requirement Specification</w:t>
            </w:r>
          </w:p>
        </w:tc>
      </w:tr>
      <w:tr>
        <w:trPr>
          <w:cantSplit/>
        </w:trPr>
        <w:tc>
          <w:tcPr>
            <w:tcW w:type="dxa" w:w="1440"/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1F4E79"/>
                <w:sz w:val="19"/>
              </w:rPr>
              <w:t>NFR-PERF-01</w:t>
            </w:r>
          </w:p>
        </w:tc>
        <w:tc>
          <w:tcPr>
            <w:tcW w:type="dxa" w:w="2880"/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9"/>
              </w:rPr>
              <w:t>Dashboard Load Time</w:t>
            </w:r>
          </w:p>
        </w:tc>
        <w:tc>
          <w:tcPr>
            <w:tcW w:type="dxa" w:w="5040"/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The user dashboard shall load completely and display registered construction sites within 2.0 seconds under standard network conditions.</w:t>
            </w:r>
          </w:p>
        </w:tc>
      </w:tr>
      <w:tr>
        <w:trPr>
          <w:cantSplit/>
        </w:trPr>
        <w:tc>
          <w:tcPr>
            <w:tcW w:type="dxa" w:w="1440"/>
            <w:shd w:fill="F2F4F7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1F4E79"/>
                <w:sz w:val="19"/>
              </w:rPr>
              <w:t>NFR-PERF-02</w:t>
            </w:r>
          </w:p>
        </w:tc>
        <w:tc>
          <w:tcPr>
            <w:tcW w:type="dxa" w:w="2880"/>
            <w:shd w:fill="F2F4F7"/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9"/>
              </w:rPr>
              <w:t>Image Processing Latency</w:t>
            </w:r>
          </w:p>
        </w:tc>
        <w:tc>
          <w:tcPr>
            <w:tcW w:type="dxa" w:w="5040"/>
            <w:shd w:fill="F2F4F7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The system shall complete Sentinel-2 image retrieval, preprocessing, and change detection pipeline execution within 30.0 seconds per bounding box.</w:t>
            </w:r>
          </w:p>
        </w:tc>
      </w:tr>
      <w:tr>
        <w:trPr>
          <w:cantSplit/>
        </w:trPr>
        <w:tc>
          <w:tcPr>
            <w:tcW w:type="dxa" w:w="1440"/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1F4E79"/>
                <w:sz w:val="19"/>
              </w:rPr>
              <w:t>NFR-PERF-03</w:t>
            </w:r>
          </w:p>
        </w:tc>
        <w:tc>
          <w:tcPr>
            <w:tcW w:type="dxa" w:w="2880"/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9"/>
              </w:rPr>
              <w:t>Report Generation Speed</w:t>
            </w:r>
          </w:p>
        </w:tc>
        <w:tc>
          <w:tcPr>
            <w:tcW w:type="dxa" w:w="5040"/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PDF and summary report generation for any registered site shall be completed and ready for download within 5.0 seconds.</w:t>
            </w:r>
          </w:p>
        </w:tc>
      </w:tr>
      <w:tr>
        <w:trPr>
          <w:cantSplit/>
        </w:trPr>
        <w:tc>
          <w:tcPr>
            <w:tcW w:type="dxa" w:w="1440"/>
            <w:shd w:fill="F2F4F7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1F4E79"/>
                <w:sz w:val="19"/>
              </w:rPr>
              <w:t>NFR-PERF-04</w:t>
            </w:r>
          </w:p>
        </w:tc>
        <w:tc>
          <w:tcPr>
            <w:tcW w:type="dxa" w:w="2880"/>
            <w:shd w:fill="F2F4F7"/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9"/>
              </w:rPr>
              <w:t>UI Feedback Responsiveness</w:t>
            </w:r>
          </w:p>
        </w:tc>
        <w:tc>
          <w:tcPr>
            <w:tcW w:type="dxa" w:w="5040"/>
            <w:shd w:fill="F2F4F7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User interface interactions (e.g., coordinate validation, switching dates, toggling layers) shall respond with visual feedback within 500 milliseconds.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Arial" w:hAnsi="Arial"/>
          <w:b/>
          <w:color w:val="1F4E79"/>
          <w:sz w:val="28"/>
        </w:rPr>
        <w:t>2. Accuracy &amp; Quality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1440"/>
            <w:shd w:fill="1F4E79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Req ID</w:t>
            </w:r>
          </w:p>
        </w:tc>
        <w:tc>
          <w:tcPr>
            <w:tcW w:type="dxa" w:w="2880"/>
            <w:shd w:fill="1F4E79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Requirement Name</w:t>
            </w:r>
          </w:p>
        </w:tc>
        <w:tc>
          <w:tcPr>
            <w:tcW w:type="dxa" w:w="5040"/>
            <w:shd w:fill="1F4E79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Quantitative Metric / Non-Functional Requirement Specification</w:t>
            </w:r>
          </w:p>
        </w:tc>
      </w:tr>
      <w:tr>
        <w:trPr>
          <w:cantSplit/>
        </w:trPr>
        <w:tc>
          <w:tcPr>
            <w:tcW w:type="dxa" w:w="1440"/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1F4E79"/>
                <w:sz w:val="19"/>
              </w:rPr>
              <w:t>NFR-ACC-01</w:t>
            </w:r>
          </w:p>
        </w:tc>
        <w:tc>
          <w:tcPr>
            <w:tcW w:type="dxa" w:w="2880"/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9"/>
              </w:rPr>
              <w:t>Model Detection Accuracy</w:t>
            </w:r>
          </w:p>
        </w:tc>
        <w:tc>
          <w:tcPr>
            <w:tcW w:type="dxa" w:w="5040"/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The computer vision AI change-detection model shall achieve a minimum accuracy threshold of 85.0% (IoU / precision-recall) on Sentinel-2 images with &lt; 10% cloud cover.</w:t>
            </w:r>
          </w:p>
        </w:tc>
      </w:tr>
      <w:tr>
        <w:trPr>
          <w:cantSplit/>
        </w:trPr>
        <w:tc>
          <w:tcPr>
            <w:tcW w:type="dxa" w:w="1440"/>
            <w:shd w:fill="F2F4F7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1F4E79"/>
                <w:sz w:val="19"/>
              </w:rPr>
              <w:t>NFR-ACC-02</w:t>
            </w:r>
          </w:p>
        </w:tc>
        <w:tc>
          <w:tcPr>
            <w:tcW w:type="dxa" w:w="2880"/>
            <w:shd w:fill="F2F4F7"/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9"/>
              </w:rPr>
              <w:t>Spatial Resolution Constraint</w:t>
            </w:r>
          </w:p>
        </w:tc>
        <w:tc>
          <w:tcPr>
            <w:tcW w:type="dxa" w:w="5040"/>
            <w:shd w:fill="F2F4F7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The site-level change mask pipeline shall process visual data using Sentinel-2 bands at 10-meter spatial resolution.</w:t>
            </w:r>
          </w:p>
        </w:tc>
      </w:tr>
      <w:tr>
        <w:trPr>
          <w:cantSplit/>
        </w:trPr>
        <w:tc>
          <w:tcPr>
            <w:tcW w:type="dxa" w:w="1440"/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1F4E79"/>
                <w:sz w:val="19"/>
              </w:rPr>
              <w:t>NFR-ACC-03</w:t>
            </w:r>
          </w:p>
        </w:tc>
        <w:tc>
          <w:tcPr>
            <w:tcW w:type="dxa" w:w="2880"/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9"/>
              </w:rPr>
              <w:t>Validation Error Rate</w:t>
            </w:r>
          </w:p>
        </w:tc>
        <w:tc>
          <w:tcPr>
            <w:tcW w:type="dxa" w:w="5040"/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The system's geographical coordinate and form validation engine shall detect invalid/incomplete inputs with a 100.0% catch rate prior to processing.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Arial" w:hAnsi="Arial"/>
          <w:b/>
          <w:color w:val="1F4E79"/>
          <w:sz w:val="28"/>
        </w:rPr>
        <w:t>3. Availability &amp; Reliability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1440"/>
            <w:shd w:fill="1F4E79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Req ID</w:t>
            </w:r>
          </w:p>
        </w:tc>
        <w:tc>
          <w:tcPr>
            <w:tcW w:type="dxa" w:w="2880"/>
            <w:shd w:fill="1F4E79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Requirement Name</w:t>
            </w:r>
          </w:p>
        </w:tc>
        <w:tc>
          <w:tcPr>
            <w:tcW w:type="dxa" w:w="5040"/>
            <w:shd w:fill="1F4E79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Quantitative Metric / Non-Functional Requirement Specification</w:t>
            </w:r>
          </w:p>
        </w:tc>
      </w:tr>
      <w:tr>
        <w:trPr>
          <w:cantSplit/>
        </w:trPr>
        <w:tc>
          <w:tcPr>
            <w:tcW w:type="dxa" w:w="1440"/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1F4E79"/>
                <w:sz w:val="19"/>
              </w:rPr>
              <w:t>NFR-REL-01</w:t>
            </w:r>
          </w:p>
        </w:tc>
        <w:tc>
          <w:tcPr>
            <w:tcW w:type="dxa" w:w="2880"/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9"/>
              </w:rPr>
              <w:t>System Uptime</w:t>
            </w:r>
          </w:p>
        </w:tc>
        <w:tc>
          <w:tcPr>
            <w:tcW w:type="dxa" w:w="5040"/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The web application and API backend services shall maintain an uptime availability of at least 99.9% annually.</w:t>
            </w:r>
          </w:p>
        </w:tc>
      </w:tr>
      <w:tr>
        <w:trPr>
          <w:cantSplit/>
        </w:trPr>
        <w:tc>
          <w:tcPr>
            <w:tcW w:type="dxa" w:w="1440"/>
            <w:shd w:fill="F2F4F7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1F4E79"/>
                <w:sz w:val="19"/>
              </w:rPr>
              <w:t>NFR-REL-02</w:t>
            </w:r>
          </w:p>
        </w:tc>
        <w:tc>
          <w:tcPr>
            <w:tcW w:type="dxa" w:w="2880"/>
            <w:shd w:fill="F2F4F7"/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9"/>
              </w:rPr>
              <w:t>External API Error Handling</w:t>
            </w:r>
          </w:p>
        </w:tc>
        <w:tc>
          <w:tcPr>
            <w:tcW w:type="dxa" w:w="5040"/>
            <w:shd w:fill="F2F4F7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In case of Google Earth Engine or imagery service timeouts, the system shall handle exceptions and present descriptive notifications within 1.0 second.</w:t>
            </w:r>
          </w:p>
        </w:tc>
      </w:tr>
      <w:tr>
        <w:trPr>
          <w:cantSplit/>
        </w:trPr>
        <w:tc>
          <w:tcPr>
            <w:tcW w:type="dxa" w:w="1440"/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1F4E79"/>
                <w:sz w:val="19"/>
              </w:rPr>
              <w:t>NFR-REL-03</w:t>
            </w:r>
          </w:p>
        </w:tc>
        <w:tc>
          <w:tcPr>
            <w:tcW w:type="dxa" w:w="2880"/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9"/>
              </w:rPr>
              <w:t>Data Integrity</w:t>
            </w:r>
          </w:p>
        </w:tc>
        <w:tc>
          <w:tcPr>
            <w:tcW w:type="dxa" w:w="5040"/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The database shall maintain a 0.0% data loss rate for monitoring records and registered site configurations via automated daily backups.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Arial" w:hAnsi="Arial"/>
          <w:b/>
          <w:color w:val="1F4E79"/>
          <w:sz w:val="28"/>
        </w:rPr>
        <w:t>4. Capacity &amp; Scalability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1440"/>
            <w:shd w:fill="1F4E79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Req ID</w:t>
            </w:r>
          </w:p>
        </w:tc>
        <w:tc>
          <w:tcPr>
            <w:tcW w:type="dxa" w:w="2880"/>
            <w:shd w:fill="1F4E79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Requirement Name</w:t>
            </w:r>
          </w:p>
        </w:tc>
        <w:tc>
          <w:tcPr>
            <w:tcW w:type="dxa" w:w="5040"/>
            <w:shd w:fill="1F4E79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Quantitative Metric / Non-Functional Requirement Specification</w:t>
            </w:r>
          </w:p>
        </w:tc>
      </w:tr>
      <w:tr>
        <w:trPr>
          <w:cantSplit/>
        </w:trPr>
        <w:tc>
          <w:tcPr>
            <w:tcW w:type="dxa" w:w="1440"/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1F4E79"/>
                <w:sz w:val="19"/>
              </w:rPr>
              <w:t>NFR-SCA-01</w:t>
            </w:r>
          </w:p>
        </w:tc>
        <w:tc>
          <w:tcPr>
            <w:tcW w:type="dxa" w:w="2880"/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9"/>
              </w:rPr>
              <w:t>Concurrent Load Capacity</w:t>
            </w:r>
          </w:p>
        </w:tc>
        <w:tc>
          <w:tcPr>
            <w:tcW w:type="dxa" w:w="5040"/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The server backend shall handle at least 500 concurrent active user sessions without exceeding target response time thresholds.</w:t>
            </w:r>
          </w:p>
        </w:tc>
      </w:tr>
      <w:tr>
        <w:trPr>
          <w:cantSplit/>
        </w:trPr>
        <w:tc>
          <w:tcPr>
            <w:tcW w:type="dxa" w:w="1440"/>
            <w:shd w:fill="F2F4F7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1F4E79"/>
                <w:sz w:val="19"/>
              </w:rPr>
              <w:t>NFR-SCA-02</w:t>
            </w:r>
          </w:p>
        </w:tc>
        <w:tc>
          <w:tcPr>
            <w:tcW w:type="dxa" w:w="2880"/>
            <w:shd w:fill="F2F4F7"/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9"/>
              </w:rPr>
              <w:t>Database Storage Limit</w:t>
            </w:r>
          </w:p>
        </w:tc>
        <w:tc>
          <w:tcPr>
            <w:tcW w:type="dxa" w:w="5040"/>
            <w:shd w:fill="F2F4F7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The system architecture shall support data storage for at least 10,000 active construction sites and maintain up to 5 years of historical monitoring logs.</w:t>
            </w:r>
          </w:p>
        </w:tc>
      </w:tr>
      <w:tr>
        <w:trPr>
          <w:cantSplit/>
        </w:trPr>
        <w:tc>
          <w:tcPr>
            <w:tcW w:type="dxa" w:w="1440"/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1F4E79"/>
                <w:sz w:val="19"/>
              </w:rPr>
              <w:t>NFR-SCA-03</w:t>
            </w:r>
          </w:p>
        </w:tc>
        <w:tc>
          <w:tcPr>
            <w:tcW w:type="dxa" w:w="2880"/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9"/>
              </w:rPr>
              <w:t>Image Caching Duration</w:t>
            </w:r>
          </w:p>
        </w:tc>
        <w:tc>
          <w:tcPr>
            <w:tcW w:type="dxa" w:w="5040"/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Processed satellite layer renders shall be cached locally for up to 30 days to reduce external API requests for repeated views.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Arial" w:hAnsi="Arial"/>
          <w:b/>
          <w:color w:val="1F4E79"/>
          <w:sz w:val="28"/>
        </w:rPr>
        <w:t>5. Security &amp; Compliance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1440"/>
            <w:shd w:fill="1F4E79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Req ID</w:t>
            </w:r>
          </w:p>
        </w:tc>
        <w:tc>
          <w:tcPr>
            <w:tcW w:type="dxa" w:w="2880"/>
            <w:shd w:fill="1F4E79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Requirement Name</w:t>
            </w:r>
          </w:p>
        </w:tc>
        <w:tc>
          <w:tcPr>
            <w:tcW w:type="dxa" w:w="5040"/>
            <w:shd w:fill="1F4E79"/>
          </w:tcPr>
          <w:p>
            <w:pPr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Quantitative Metric / Non-Functional Requirement Specification</w:t>
            </w:r>
          </w:p>
        </w:tc>
      </w:tr>
      <w:tr>
        <w:trPr>
          <w:cantSplit/>
        </w:trPr>
        <w:tc>
          <w:tcPr>
            <w:tcW w:type="dxa" w:w="1440"/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1F4E79"/>
                <w:sz w:val="19"/>
              </w:rPr>
              <w:t>NFR-SEC-01</w:t>
            </w:r>
          </w:p>
        </w:tc>
        <w:tc>
          <w:tcPr>
            <w:tcW w:type="dxa" w:w="2880"/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9"/>
              </w:rPr>
              <w:t>Inactivity Session Timeout</w:t>
            </w:r>
          </w:p>
        </w:tc>
        <w:tc>
          <w:tcPr>
            <w:tcW w:type="dxa" w:w="5040"/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User sessions shall automatically expire and require re-authentication after 30 minutes of absolute inactivity.</w:t>
            </w:r>
          </w:p>
        </w:tc>
      </w:tr>
      <w:tr>
        <w:trPr>
          <w:cantSplit/>
        </w:trPr>
        <w:tc>
          <w:tcPr>
            <w:tcW w:type="dxa" w:w="1440"/>
            <w:shd w:fill="F2F4F7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1F4E79"/>
                <w:sz w:val="19"/>
              </w:rPr>
              <w:t>NFR-SEC-02</w:t>
            </w:r>
          </w:p>
        </w:tc>
        <w:tc>
          <w:tcPr>
            <w:tcW w:type="dxa" w:w="2880"/>
            <w:shd w:fill="F2F4F7"/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9"/>
              </w:rPr>
              <w:t>Password Policy Enforcement</w:t>
            </w:r>
          </w:p>
        </w:tc>
        <w:tc>
          <w:tcPr>
            <w:tcW w:type="dxa" w:w="5040"/>
            <w:shd w:fill="F2F4F7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Account creation shall enforce a minimum password length of 8 characters containing uppercase letters, lowercase letters, numbers, and special symbols.</w:t>
            </w:r>
          </w:p>
        </w:tc>
      </w:tr>
      <w:tr>
        <w:trPr>
          <w:cantSplit/>
        </w:trPr>
        <w:tc>
          <w:tcPr>
            <w:tcW w:type="dxa" w:w="1440"/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1F4E79"/>
                <w:sz w:val="19"/>
              </w:rPr>
              <w:t>NFR-SEC-03</w:t>
            </w:r>
          </w:p>
        </w:tc>
        <w:tc>
          <w:tcPr>
            <w:tcW w:type="dxa" w:w="2880"/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b/>
                <w:sz w:val="19"/>
              </w:rPr>
              <w:t>Data Transmission Encryption</w:t>
            </w:r>
          </w:p>
        </w:tc>
        <w:tc>
          <w:tcPr>
            <w:tcW w:type="dxa" w:w="5040"/>
            <w:shd w:fill="FFFFFF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All network communication between client dashboards and system servers shall be encrypted using TLS 1.3 or higher over HTTPS.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Arial" w:hAnsi="Arial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