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871C" w14:textId="77777777" w:rsidR="00866F0D" w:rsidRDefault="00000000">
      <w:pPr>
        <w:pStyle w:val="Paragraph"/>
        <w:jc w:val="left"/>
        <w:sectPr w:rsidR="00866F0D">
          <w:pgSz w:w="12240" w:h="15840"/>
          <w:pgMar w:top="1440" w:right="1440" w:bottom="1440" w:left="1440" w:header="720" w:footer="720" w:gutter="0"/>
          <w:cols w:space="720"/>
        </w:sectPr>
      </w:pPr>
      <w:r>
        <w:t>Document title: Confidentiality agreement (one-way; pro-discloser).</w:t>
      </w:r>
    </w:p>
    <w:p w14:paraId="62DF1FB3" w14:textId="77777777" w:rsidR="00866F0D" w:rsidRDefault="00000000">
      <w:pPr>
        <w:pStyle w:val="CoversheetStaticText"/>
        <w:rPr>
          <w:b/>
        </w:rPr>
      </w:pPr>
      <w:r>
        <w:rPr>
          <w:b/>
        </w:rPr>
        <w:lastRenderedPageBreak/>
        <w:t>DATED</w:t>
      </w:r>
    </w:p>
    <w:p w14:paraId="24D010C3" w14:textId="77777777" w:rsidR="00866F0D" w:rsidRDefault="00000000">
      <w:pPr>
        <w:pStyle w:val="CoversheetStaticText"/>
        <w:rPr>
          <w:b/>
        </w:rPr>
      </w:pPr>
      <w:r>
        <w:t>------------</w:t>
      </w:r>
    </w:p>
    <w:p w14:paraId="5D1FD08B" w14:textId="77777777" w:rsidR="00866F0D" w:rsidRDefault="00000000">
      <w:pPr>
        <w:pStyle w:val="CoversheetTitle"/>
      </w:pPr>
      <w:r>
        <w:t>Confidentiality agreement (one-way; pro-discloser)</w:t>
      </w:r>
    </w:p>
    <w:p w14:paraId="28905E2E" w14:textId="77777777" w:rsidR="00866F0D" w:rsidRDefault="00000000">
      <w:pPr>
        <w:pStyle w:val="CoversheetStaticText"/>
      </w:pPr>
      <w:r>
        <w:t>[between/among]</w:t>
      </w:r>
    </w:p>
    <w:p w14:paraId="4579E3F3" w14:textId="7FDD1D7C" w:rsidR="00866F0D" w:rsidRDefault="00596661">
      <w:pPr>
        <w:pStyle w:val="CoversheetParty"/>
      </w:pPr>
      <w:r>
        <w:t>Analyst AI</w:t>
      </w:r>
    </w:p>
    <w:p w14:paraId="702AC7ED" w14:textId="77777777" w:rsidR="00866F0D" w:rsidRDefault="00000000">
      <w:pPr>
        <w:pStyle w:val="CoversheetStaticText"/>
      </w:pPr>
      <w:r>
        <w:t>and</w:t>
      </w:r>
    </w:p>
    <w:p w14:paraId="3444C975" w14:textId="7D255656" w:rsidR="00866F0D" w:rsidRDefault="00596661">
      <w:pPr>
        <w:pStyle w:val="CoversheetParty"/>
        <w:sectPr w:rsidR="00866F0D">
          <w:pgSz w:w="12240" w:h="15840"/>
          <w:pgMar w:top="1440" w:right="1440" w:bottom="1440" w:left="1440" w:header="720" w:footer="720" w:gutter="0"/>
          <w:cols w:space="720"/>
        </w:sectPr>
      </w:pPr>
      <w:r>
        <w:t>Bristol Capital</w:t>
      </w:r>
    </w:p>
    <w:p w14:paraId="4DF158CE" w14:textId="77777777" w:rsidR="00010BAD" w:rsidRDefault="00010BAD">
      <w:pPr>
        <w:sectPr w:rsidR="00010BAD">
          <w:type w:val="continuous"/>
          <w:pgSz w:w="12240" w:h="15840"/>
          <w:pgMar w:top="1440" w:right="1440" w:bottom="1440" w:left="1440" w:header="720" w:footer="720" w:gutter="0"/>
          <w:cols w:space="720"/>
        </w:sectPr>
      </w:pPr>
    </w:p>
    <w:p w14:paraId="3EE8C5BB" w14:textId="77777777" w:rsidR="00866F0D" w:rsidRDefault="00000000">
      <w:pPr>
        <w:pStyle w:val="HeadingLevel2"/>
      </w:pPr>
      <w:r>
        <w:lastRenderedPageBreak/>
        <w:t>CONTENTS</w:t>
      </w:r>
    </w:p>
    <w:p w14:paraId="02F66A2F" w14:textId="77777777" w:rsidR="00866F0D" w:rsidRDefault="00000000">
      <w:pPr>
        <w:pStyle w:val="HeadingLevel2"/>
      </w:pPr>
      <w:r>
        <w:t>____________________________________________________________</w:t>
      </w:r>
    </w:p>
    <w:p w14:paraId="425438FB" w14:textId="77777777" w:rsidR="00866F0D" w:rsidRDefault="00000000">
      <w:pPr>
        <w:pStyle w:val="HeadingLevel2"/>
      </w:pPr>
      <w:r>
        <w:t>CLAUSE</w:t>
      </w:r>
    </w:p>
    <w:p w14:paraId="341ADFF6" w14:textId="77777777" w:rsidR="00010BAD" w:rsidRDefault="00000000">
      <w:pPr>
        <w:pStyle w:val="TOC1"/>
        <w:tabs>
          <w:tab w:val="left" w:pos="440"/>
          <w:tab w:val="right" w:leader="dot" w:pos="9350"/>
        </w:tabs>
        <w:rPr>
          <w:noProof/>
        </w:rPr>
      </w:pPr>
      <w:r>
        <w:rPr>
          <w:rFonts w:eastAsia="Arial"/>
          <w:sz w:val="22"/>
          <w:szCs w:val="22"/>
          <w:lang w:eastAsia="en-GB"/>
        </w:rPr>
        <w:fldChar w:fldCharType="begin"/>
      </w:r>
      <w:r>
        <w:rPr>
          <w:color w:val="000000"/>
        </w:rPr>
        <w:instrText>TOC \t "Title Clause, 1" \h</w:instrText>
      </w:r>
      <w:r>
        <w:rPr>
          <w:rFonts w:eastAsia="Arial"/>
          <w:sz w:val="22"/>
          <w:szCs w:val="22"/>
          <w:lang w:eastAsia="en-GB"/>
        </w:rPr>
        <w:fldChar w:fldCharType="separate"/>
      </w:r>
      <w:hyperlink w:anchor="_Toc256000000" w:history="1">
        <w:r w:rsidR="00010BAD">
          <w:rPr>
            <w:rStyle w:val="Hyperlink"/>
          </w:rPr>
          <w:t>1.</w:t>
        </w:r>
        <w:r w:rsidR="00010BAD">
          <w:rPr>
            <w:rStyle w:val="Hyperlink"/>
            <w:noProof/>
          </w:rPr>
          <w:tab/>
        </w:r>
        <w:r w:rsidR="00010BAD">
          <w:rPr>
            <w:rStyle w:val="Hyperlink"/>
          </w:rPr>
          <w:t>Interpretation</w:t>
        </w:r>
        <w:r w:rsidR="00010BAD">
          <w:rPr>
            <w:rStyle w:val="Hyperlink"/>
          </w:rPr>
          <w:tab/>
        </w:r>
        <w:r w:rsidR="00010BAD">
          <w:fldChar w:fldCharType="begin"/>
        </w:r>
        <w:r w:rsidR="00010BAD">
          <w:rPr>
            <w:rStyle w:val="Hyperlink"/>
          </w:rPr>
          <w:instrText xml:space="preserve"> PAGEREF _Toc256000000 \h </w:instrText>
        </w:r>
        <w:r w:rsidR="00010BAD">
          <w:fldChar w:fldCharType="separate"/>
        </w:r>
        <w:r w:rsidR="00010BAD">
          <w:rPr>
            <w:rStyle w:val="Hyperlink"/>
          </w:rPr>
          <w:t>2</w:t>
        </w:r>
        <w:r w:rsidR="00010BAD">
          <w:fldChar w:fldCharType="end"/>
        </w:r>
      </w:hyperlink>
    </w:p>
    <w:p w14:paraId="060EA4A1" w14:textId="77777777" w:rsidR="00010BAD" w:rsidRDefault="00010BAD">
      <w:pPr>
        <w:pStyle w:val="TOC1"/>
        <w:tabs>
          <w:tab w:val="left" w:pos="440"/>
          <w:tab w:val="right" w:leader="dot" w:pos="9350"/>
        </w:tabs>
        <w:rPr>
          <w:noProof/>
        </w:rPr>
      </w:pPr>
      <w:hyperlink w:anchor="_Toc256000001" w:history="1">
        <w:r>
          <w:rPr>
            <w:rStyle w:val="Hyperlink"/>
          </w:rPr>
          <w:t>2.</w:t>
        </w:r>
        <w:r>
          <w:rPr>
            <w:rStyle w:val="Hyperlink"/>
            <w:noProof/>
          </w:rPr>
          <w:tab/>
        </w:r>
        <w:r>
          <w:rPr>
            <w:rStyle w:val="Hyperlink"/>
          </w:rPr>
          <w:t>Confidential Information</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hyperlink>
    </w:p>
    <w:p w14:paraId="7ACE7A2B" w14:textId="77777777" w:rsidR="00010BAD" w:rsidRDefault="00010BAD">
      <w:pPr>
        <w:pStyle w:val="TOC1"/>
        <w:tabs>
          <w:tab w:val="left" w:pos="440"/>
          <w:tab w:val="right" w:leader="dot" w:pos="9350"/>
        </w:tabs>
        <w:rPr>
          <w:noProof/>
        </w:rPr>
      </w:pPr>
      <w:hyperlink w:anchor="_Toc256000002" w:history="1">
        <w:r>
          <w:rPr>
            <w:rStyle w:val="Hyperlink"/>
          </w:rPr>
          <w:t>3.</w:t>
        </w:r>
        <w:r>
          <w:rPr>
            <w:rStyle w:val="Hyperlink"/>
            <w:noProof/>
          </w:rPr>
          <w:tab/>
        </w:r>
        <w:r>
          <w:rPr>
            <w:rStyle w:val="Hyperlink"/>
          </w:rPr>
          <w:t>Confidentiality obligations</w:t>
        </w:r>
        <w:r>
          <w:rPr>
            <w:rStyle w:val="Hyperlink"/>
          </w:rPr>
          <w:tab/>
        </w:r>
        <w:r>
          <w:fldChar w:fldCharType="begin"/>
        </w:r>
        <w:r>
          <w:rPr>
            <w:rStyle w:val="Hyperlink"/>
          </w:rPr>
          <w:instrText xml:space="preserve"> PAGEREF _Toc256000002 \h </w:instrText>
        </w:r>
        <w:r>
          <w:fldChar w:fldCharType="separate"/>
        </w:r>
        <w:r>
          <w:rPr>
            <w:rStyle w:val="Hyperlink"/>
          </w:rPr>
          <w:t>5</w:t>
        </w:r>
        <w:r>
          <w:fldChar w:fldCharType="end"/>
        </w:r>
      </w:hyperlink>
    </w:p>
    <w:p w14:paraId="5E31C0FA" w14:textId="77777777" w:rsidR="00010BAD" w:rsidRDefault="00010BAD">
      <w:pPr>
        <w:pStyle w:val="TOC1"/>
        <w:tabs>
          <w:tab w:val="left" w:pos="440"/>
          <w:tab w:val="right" w:leader="dot" w:pos="9350"/>
        </w:tabs>
        <w:rPr>
          <w:noProof/>
        </w:rPr>
      </w:pPr>
      <w:hyperlink w:anchor="_Toc256000003" w:history="1">
        <w:r>
          <w:rPr>
            <w:rStyle w:val="Hyperlink"/>
          </w:rPr>
          <w:t>4.</w:t>
        </w:r>
        <w:r>
          <w:rPr>
            <w:rStyle w:val="Hyperlink"/>
            <w:noProof/>
          </w:rPr>
          <w:tab/>
        </w:r>
        <w:r>
          <w:rPr>
            <w:rStyle w:val="Hyperlink"/>
          </w:rPr>
          <w:t>Permitted disclosure</w:t>
        </w:r>
        <w:r>
          <w:rPr>
            <w:rStyle w:val="Hyperlink"/>
          </w:rPr>
          <w:tab/>
        </w:r>
        <w:r>
          <w:fldChar w:fldCharType="begin"/>
        </w:r>
        <w:r>
          <w:rPr>
            <w:rStyle w:val="Hyperlink"/>
          </w:rPr>
          <w:instrText xml:space="preserve"> PAGEREF _Toc256000003 \h </w:instrText>
        </w:r>
        <w:r>
          <w:fldChar w:fldCharType="separate"/>
        </w:r>
        <w:r>
          <w:rPr>
            <w:rStyle w:val="Hyperlink"/>
          </w:rPr>
          <w:t>6</w:t>
        </w:r>
        <w:r>
          <w:fldChar w:fldCharType="end"/>
        </w:r>
      </w:hyperlink>
    </w:p>
    <w:p w14:paraId="35C50C50" w14:textId="77777777" w:rsidR="00010BAD" w:rsidRDefault="00010BAD">
      <w:pPr>
        <w:pStyle w:val="TOC1"/>
        <w:tabs>
          <w:tab w:val="left" w:pos="440"/>
          <w:tab w:val="right" w:leader="dot" w:pos="9350"/>
        </w:tabs>
        <w:rPr>
          <w:noProof/>
        </w:rPr>
      </w:pPr>
      <w:hyperlink w:anchor="_Toc256000004" w:history="1">
        <w:r>
          <w:rPr>
            <w:rStyle w:val="Hyperlink"/>
          </w:rPr>
          <w:t>5.</w:t>
        </w:r>
        <w:r>
          <w:rPr>
            <w:rStyle w:val="Hyperlink"/>
            <w:noProof/>
          </w:rPr>
          <w:tab/>
        </w:r>
        <w:r>
          <w:rPr>
            <w:rStyle w:val="Hyperlink"/>
          </w:rPr>
          <w:t>Mandatory disclosure</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hyperlink>
    </w:p>
    <w:p w14:paraId="63763C91" w14:textId="77777777" w:rsidR="00010BAD" w:rsidRDefault="00010BAD">
      <w:pPr>
        <w:pStyle w:val="TOC1"/>
        <w:tabs>
          <w:tab w:val="left" w:pos="440"/>
          <w:tab w:val="right" w:leader="dot" w:pos="9350"/>
        </w:tabs>
        <w:rPr>
          <w:noProof/>
        </w:rPr>
      </w:pPr>
      <w:hyperlink w:anchor="_Toc256000005" w:history="1">
        <w:r>
          <w:rPr>
            <w:rStyle w:val="Hyperlink"/>
          </w:rPr>
          <w:t>6.</w:t>
        </w:r>
        <w:r>
          <w:rPr>
            <w:rStyle w:val="Hyperlink"/>
            <w:noProof/>
          </w:rPr>
          <w:tab/>
        </w:r>
        <w:r>
          <w:rPr>
            <w:rStyle w:val="Hyperlink"/>
          </w:rPr>
          <w:t>Return or destruction of Confidential Information</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14:paraId="49FE68E8" w14:textId="77777777" w:rsidR="00010BAD" w:rsidRDefault="00010BAD">
      <w:pPr>
        <w:pStyle w:val="TOC1"/>
        <w:tabs>
          <w:tab w:val="left" w:pos="440"/>
          <w:tab w:val="right" w:leader="dot" w:pos="9350"/>
        </w:tabs>
        <w:rPr>
          <w:noProof/>
        </w:rPr>
      </w:pPr>
      <w:hyperlink w:anchor="_Toc256000006" w:history="1">
        <w:r>
          <w:rPr>
            <w:rStyle w:val="Hyperlink"/>
          </w:rPr>
          <w:t>7.</w:t>
        </w:r>
        <w:r>
          <w:rPr>
            <w:rStyle w:val="Hyperlink"/>
            <w:noProof/>
          </w:rPr>
          <w:tab/>
        </w:r>
        <w:r>
          <w:rPr>
            <w:rStyle w:val="Hyperlink"/>
          </w:rPr>
          <w:t>Reservation of rights and acknowledgement</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hyperlink>
    </w:p>
    <w:p w14:paraId="400B6B24" w14:textId="77777777" w:rsidR="00010BAD" w:rsidRDefault="00010BAD">
      <w:pPr>
        <w:pStyle w:val="TOC1"/>
        <w:tabs>
          <w:tab w:val="left" w:pos="440"/>
          <w:tab w:val="right" w:leader="dot" w:pos="9350"/>
        </w:tabs>
        <w:rPr>
          <w:noProof/>
        </w:rPr>
      </w:pPr>
      <w:hyperlink w:anchor="_Toc256000007" w:history="1">
        <w:r>
          <w:rPr>
            <w:rStyle w:val="Hyperlink"/>
          </w:rPr>
          <w:t>8.</w:t>
        </w:r>
        <w:r>
          <w:rPr>
            <w:rStyle w:val="Hyperlink"/>
            <w:noProof/>
          </w:rPr>
          <w:tab/>
        </w:r>
        <w:r>
          <w:rPr>
            <w:rStyle w:val="Hyperlink"/>
          </w:rPr>
          <w:t>Indemnity</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hyperlink>
    </w:p>
    <w:p w14:paraId="111A1C46" w14:textId="77777777" w:rsidR="00010BAD" w:rsidRDefault="00010BAD">
      <w:pPr>
        <w:pStyle w:val="TOC1"/>
        <w:tabs>
          <w:tab w:val="left" w:pos="440"/>
          <w:tab w:val="right" w:leader="dot" w:pos="9350"/>
        </w:tabs>
        <w:rPr>
          <w:noProof/>
        </w:rPr>
      </w:pPr>
      <w:hyperlink w:anchor="_Toc256000008" w:history="1">
        <w:r>
          <w:rPr>
            <w:rStyle w:val="Hyperlink"/>
          </w:rPr>
          <w:t>9.</w:t>
        </w:r>
        <w:r>
          <w:rPr>
            <w:rStyle w:val="Hyperlink"/>
            <w:noProof/>
          </w:rPr>
          <w:tab/>
        </w:r>
        <w:r>
          <w:rPr>
            <w:rStyle w:val="Hyperlink"/>
          </w:rPr>
          <w:t>Inadequacy of damages</w:t>
        </w:r>
        <w:r>
          <w:rPr>
            <w:rStyle w:val="Hyperlink"/>
          </w:rPr>
          <w:tab/>
        </w:r>
        <w:r>
          <w:fldChar w:fldCharType="begin"/>
        </w:r>
        <w:r>
          <w:rPr>
            <w:rStyle w:val="Hyperlink"/>
          </w:rPr>
          <w:instrText xml:space="preserve"> PAGEREF _Toc256000008 \h </w:instrText>
        </w:r>
        <w:r>
          <w:fldChar w:fldCharType="separate"/>
        </w:r>
        <w:r>
          <w:rPr>
            <w:rStyle w:val="Hyperlink"/>
          </w:rPr>
          <w:t>8</w:t>
        </w:r>
        <w:r>
          <w:fldChar w:fldCharType="end"/>
        </w:r>
      </w:hyperlink>
    </w:p>
    <w:p w14:paraId="31BB54E4" w14:textId="77777777" w:rsidR="00010BAD" w:rsidRDefault="00010BAD">
      <w:pPr>
        <w:pStyle w:val="TOC1"/>
        <w:tabs>
          <w:tab w:val="left" w:pos="660"/>
          <w:tab w:val="right" w:leader="dot" w:pos="9350"/>
        </w:tabs>
        <w:rPr>
          <w:noProof/>
        </w:rPr>
      </w:pPr>
      <w:hyperlink w:anchor="_Toc256000009" w:history="1">
        <w:r>
          <w:rPr>
            <w:rStyle w:val="Hyperlink"/>
          </w:rPr>
          <w:t>10.</w:t>
        </w:r>
        <w:r>
          <w:rPr>
            <w:rStyle w:val="Hyperlink"/>
            <w:noProof/>
          </w:rPr>
          <w:tab/>
        </w:r>
        <w:r>
          <w:rPr>
            <w:rStyle w:val="Hyperlink"/>
          </w:rPr>
          <w:t>No obligation to continue discussions</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hyperlink>
    </w:p>
    <w:p w14:paraId="7AB46FCA" w14:textId="77777777" w:rsidR="00010BAD" w:rsidRDefault="00010BAD">
      <w:pPr>
        <w:pStyle w:val="TOC1"/>
        <w:tabs>
          <w:tab w:val="left" w:pos="660"/>
          <w:tab w:val="right" w:leader="dot" w:pos="9350"/>
        </w:tabs>
        <w:rPr>
          <w:noProof/>
        </w:rPr>
      </w:pPr>
      <w:hyperlink w:anchor="_Toc256000010" w:history="1">
        <w:r>
          <w:rPr>
            <w:rStyle w:val="Hyperlink"/>
          </w:rPr>
          <w:t>11.</w:t>
        </w:r>
        <w:r>
          <w:rPr>
            <w:rStyle w:val="Hyperlink"/>
            <w:noProof/>
          </w:rPr>
          <w:tab/>
        </w:r>
        <w:r>
          <w:rPr>
            <w:rStyle w:val="Hyperlink"/>
          </w:rPr>
          <w:t>Ending discussions and duration of confidentiality obligations</w:t>
        </w:r>
        <w:r>
          <w:rPr>
            <w:rStyle w:val="Hyperlink"/>
          </w:rPr>
          <w:tab/>
        </w:r>
        <w:r>
          <w:fldChar w:fldCharType="begin"/>
        </w:r>
        <w:r>
          <w:rPr>
            <w:rStyle w:val="Hyperlink"/>
          </w:rPr>
          <w:instrText xml:space="preserve"> PAGEREF _Toc256000010 \h </w:instrText>
        </w:r>
        <w:r>
          <w:fldChar w:fldCharType="separate"/>
        </w:r>
        <w:r>
          <w:rPr>
            <w:rStyle w:val="Hyperlink"/>
          </w:rPr>
          <w:t>9</w:t>
        </w:r>
        <w:r>
          <w:fldChar w:fldCharType="end"/>
        </w:r>
      </w:hyperlink>
    </w:p>
    <w:p w14:paraId="773184BA" w14:textId="77777777" w:rsidR="00010BAD" w:rsidRDefault="00010BAD">
      <w:pPr>
        <w:pStyle w:val="TOC1"/>
        <w:tabs>
          <w:tab w:val="left" w:pos="660"/>
          <w:tab w:val="right" w:leader="dot" w:pos="9350"/>
        </w:tabs>
        <w:rPr>
          <w:noProof/>
        </w:rPr>
      </w:pPr>
      <w:hyperlink w:anchor="_Toc256000011" w:history="1">
        <w:r>
          <w:rPr>
            <w:rStyle w:val="Hyperlink"/>
          </w:rPr>
          <w:t>12.</w:t>
        </w:r>
        <w:r>
          <w:rPr>
            <w:rStyle w:val="Hyperlink"/>
            <w:noProof/>
          </w:rPr>
          <w:tab/>
        </w:r>
        <w:r>
          <w:rPr>
            <w:rStyle w:val="Hyperlink"/>
          </w:rPr>
          <w:t>No partnership or agency</w:t>
        </w:r>
        <w:r>
          <w:rPr>
            <w:rStyle w:val="Hyperlink"/>
          </w:rPr>
          <w:tab/>
        </w:r>
        <w:r>
          <w:fldChar w:fldCharType="begin"/>
        </w:r>
        <w:r>
          <w:rPr>
            <w:rStyle w:val="Hyperlink"/>
          </w:rPr>
          <w:instrText xml:space="preserve"> PAGEREF _Toc256000011 \h </w:instrText>
        </w:r>
        <w:r>
          <w:fldChar w:fldCharType="separate"/>
        </w:r>
        <w:r>
          <w:rPr>
            <w:rStyle w:val="Hyperlink"/>
          </w:rPr>
          <w:t>9</w:t>
        </w:r>
        <w:r>
          <w:fldChar w:fldCharType="end"/>
        </w:r>
      </w:hyperlink>
    </w:p>
    <w:p w14:paraId="41BDC670" w14:textId="77777777" w:rsidR="00010BAD" w:rsidRDefault="00010BAD">
      <w:pPr>
        <w:pStyle w:val="TOC1"/>
        <w:tabs>
          <w:tab w:val="left" w:pos="660"/>
          <w:tab w:val="right" w:leader="dot" w:pos="9350"/>
        </w:tabs>
        <w:rPr>
          <w:noProof/>
        </w:rPr>
      </w:pPr>
      <w:hyperlink w:anchor="_Toc256000012" w:history="1">
        <w:r>
          <w:rPr>
            <w:rStyle w:val="Hyperlink"/>
          </w:rPr>
          <w:t>13.</w:t>
        </w:r>
        <w:r>
          <w:rPr>
            <w:rStyle w:val="Hyperlink"/>
            <w:noProof/>
          </w:rPr>
          <w:tab/>
        </w:r>
        <w:r>
          <w:rPr>
            <w:rStyle w:val="Hyperlink"/>
          </w:rPr>
          <w:t>General</w:t>
        </w:r>
        <w:r>
          <w:rPr>
            <w:rStyle w:val="Hyperlink"/>
          </w:rPr>
          <w:tab/>
        </w:r>
        <w:r>
          <w:fldChar w:fldCharType="begin"/>
        </w:r>
        <w:r>
          <w:rPr>
            <w:rStyle w:val="Hyperlink"/>
          </w:rPr>
          <w:instrText xml:space="preserve"> PAGEREF _Toc256000012 \h </w:instrText>
        </w:r>
        <w:r>
          <w:fldChar w:fldCharType="separate"/>
        </w:r>
        <w:r>
          <w:rPr>
            <w:rStyle w:val="Hyperlink"/>
          </w:rPr>
          <w:t>9</w:t>
        </w:r>
        <w:r>
          <w:fldChar w:fldCharType="end"/>
        </w:r>
      </w:hyperlink>
    </w:p>
    <w:p w14:paraId="28727BB3" w14:textId="77777777" w:rsidR="00866F0D" w:rsidRDefault="00000000">
      <w:pPr>
        <w:pStyle w:val="HeadingLevel2"/>
      </w:pPr>
      <w:r>
        <w:fldChar w:fldCharType="end"/>
      </w:r>
    </w:p>
    <w:p w14:paraId="4B0040AB" w14:textId="77777777" w:rsidR="00866F0D" w:rsidRDefault="00866F0D">
      <w:pPr>
        <w:pStyle w:val="HeadingLevel2"/>
        <w:sectPr w:rsidR="00866F0D">
          <w:footerReference w:type="default" r:id="rId11"/>
          <w:pgSz w:w="12240" w:h="15840"/>
          <w:pgMar w:top="1440" w:right="1440" w:bottom="1440" w:left="1440" w:header="720" w:footer="720" w:gutter="0"/>
          <w:pgNumType w:start="1"/>
          <w:cols w:space="720"/>
        </w:sectPr>
      </w:pPr>
    </w:p>
    <w:p w14:paraId="63BDB444" w14:textId="77777777" w:rsidR="00866F0D" w:rsidRDefault="00866F0D">
      <w:pPr>
        <w:pStyle w:val="HeadingLevel2"/>
      </w:pPr>
    </w:p>
    <w:p w14:paraId="7FB96DDD" w14:textId="1D177408" w:rsidR="00866F0D" w:rsidRDefault="00000000">
      <w:pPr>
        <w:pStyle w:val="IntroDefault"/>
      </w:pPr>
      <w:r>
        <w:t xml:space="preserve">This agreement is dated </w:t>
      </w:r>
      <w:r w:rsidR="00596661">
        <w:t>[.] May 2025</w:t>
      </w:r>
    </w:p>
    <w:p w14:paraId="07B8BD56" w14:textId="77777777" w:rsidR="00866F0D" w:rsidRDefault="00000000">
      <w:pPr>
        <w:pStyle w:val="DescriptiveHeading"/>
      </w:pPr>
      <w:r>
        <w:t>PARTIES</w:t>
      </w:r>
    </w:p>
    <w:p w14:paraId="55443E12" w14:textId="766F5B57" w:rsidR="00866F0D" w:rsidRDefault="00D50477">
      <w:pPr>
        <w:pStyle w:val="Parties"/>
      </w:pPr>
      <w:r>
        <w:t>Analyst AI</w:t>
      </w:r>
      <w:r w:rsidR="005C31B1">
        <w:t xml:space="preserve"> </w:t>
      </w:r>
    </w:p>
    <w:p w14:paraId="360E0A5D" w14:textId="35ACC4D6" w:rsidR="00866F0D" w:rsidRDefault="00D50477">
      <w:pPr>
        <w:pStyle w:val="Parties"/>
      </w:pPr>
      <w:r>
        <w:t>Bristol Capital</w:t>
      </w:r>
    </w:p>
    <w:p w14:paraId="53B052BF" w14:textId="77777777" w:rsidR="00866F0D" w:rsidRDefault="00000000">
      <w:pPr>
        <w:pStyle w:val="DescriptiveHeading"/>
      </w:pPr>
      <w:r>
        <w:t>BACKGROUND</w:t>
      </w:r>
    </w:p>
    <w:p w14:paraId="2E6355BC" w14:textId="216DD529" w:rsidR="00866F0D" w:rsidRDefault="00000000">
      <w:pPr>
        <w:pStyle w:val="Background"/>
      </w:pPr>
      <w:bookmarkStart w:id="0" w:name="a786816"/>
      <w:r>
        <w:t xml:space="preserve">The parties intend to enter into discussions relating to the Purpose which will involve the disclosure of confidential information from </w:t>
      </w:r>
      <w:r w:rsidR="00596661">
        <w:t>Analyst AI</w:t>
      </w:r>
      <w:r>
        <w:t xml:space="preserve"> to </w:t>
      </w:r>
      <w:r w:rsidR="00596661">
        <w:t>Bristol Capital</w:t>
      </w:r>
      <w:r>
        <w:t>.</w:t>
      </w:r>
      <w:bookmarkEnd w:id="0"/>
      <w:r w:rsidR="005C31B1">
        <w:t xml:space="preserve"> </w:t>
      </w:r>
    </w:p>
    <w:p w14:paraId="33DCD9CD" w14:textId="77777777" w:rsidR="00866F0D" w:rsidRDefault="00000000">
      <w:pPr>
        <w:pStyle w:val="Background"/>
      </w:pPr>
      <w:bookmarkStart w:id="1" w:name="a962538"/>
      <w:r>
        <w:t>The parties have agreed to comply with this agreement in connection with the disclosure and use of Confidential Information.</w:t>
      </w:r>
      <w:bookmarkEnd w:id="1"/>
    </w:p>
    <w:p w14:paraId="3A9C5268" w14:textId="77777777" w:rsidR="00866F0D" w:rsidRDefault="00000000">
      <w:pPr>
        <w:pStyle w:val="DescriptiveHeading"/>
      </w:pPr>
      <w:r>
        <w:t>Agreed terms</w:t>
      </w:r>
    </w:p>
    <w:p w14:paraId="1A123DD2" w14:textId="0DBAB0CB" w:rsidR="00866F0D" w:rsidRDefault="00000000">
      <w:pPr>
        <w:pStyle w:val="TitleClause"/>
      </w:pPr>
      <w:r>
        <w:fldChar w:fldCharType="begin"/>
      </w:r>
      <w:r>
        <w:instrText>TC "1. Interpretation" \l 1</w:instrText>
      </w:r>
      <w:r>
        <w:fldChar w:fldCharType="end"/>
      </w:r>
      <w:bookmarkStart w:id="2" w:name="_Toc256000000"/>
      <w:bookmarkStart w:id="3" w:name="a116502"/>
      <w:r>
        <w:t>Interpretation</w:t>
      </w:r>
      <w:bookmarkEnd w:id="2"/>
      <w:bookmarkEnd w:id="3"/>
      <w:r w:rsidR="005C31B1">
        <w:t xml:space="preserve"> </w:t>
      </w:r>
    </w:p>
    <w:p w14:paraId="48DA5331" w14:textId="4DF53C1B" w:rsidR="00866F0D" w:rsidRDefault="00000000">
      <w:pPr>
        <w:pStyle w:val="Untitledsubclause1"/>
        <w:rPr>
          <w:b/>
        </w:rPr>
      </w:pPr>
      <w:bookmarkStart w:id="4" w:name="a490181"/>
      <w:r>
        <w:rPr>
          <w:b/>
        </w:rPr>
        <w:t>Definitions:</w:t>
      </w:r>
      <w:bookmarkEnd w:id="4"/>
      <w:r w:rsidR="005C31B1">
        <w:rPr>
          <w:b/>
        </w:rPr>
        <w:t xml:space="preserve"> </w:t>
      </w:r>
    </w:p>
    <w:p w14:paraId="7AB65796" w14:textId="73016E55" w:rsidR="00866F0D" w:rsidRDefault="00000000">
      <w:pPr>
        <w:pStyle w:val="DefinedTermPara"/>
        <w:rPr>
          <w:rStyle w:val="DefTerm"/>
        </w:rPr>
      </w:pPr>
      <w:bookmarkStart w:id="5" w:name="a824490"/>
      <w:r>
        <w:rPr>
          <w:rStyle w:val="DefTerm"/>
        </w:rPr>
        <w:t>Business Day</w:t>
      </w:r>
      <w:r>
        <w:t>: a day other than a Saturday, Sunday or public holiday in England when banks in London are open for business.</w:t>
      </w:r>
      <w:bookmarkEnd w:id="5"/>
      <w:r w:rsidR="005C31B1">
        <w:t xml:space="preserve"> </w:t>
      </w:r>
    </w:p>
    <w:p w14:paraId="404B1F10" w14:textId="77777777" w:rsidR="00866F0D" w:rsidRDefault="00000000">
      <w:pPr>
        <w:pStyle w:val="DefinedTermPara"/>
        <w:rPr>
          <w:rStyle w:val="DefTerm"/>
        </w:rPr>
      </w:pPr>
      <w:bookmarkStart w:id="6" w:name="a582338"/>
      <w:r>
        <w:rPr>
          <w:rStyle w:val="DefTerm"/>
        </w:rPr>
        <w:t>Confidential Information</w:t>
      </w:r>
      <w:r>
        <w:t xml:space="preserve">: has the meaning given in </w:t>
      </w:r>
      <w:r>
        <w:fldChar w:fldCharType="begin"/>
      </w:r>
      <w:r>
        <w:instrText>PAGEREF a640922\# "'clause '"  \h</w:instrText>
      </w:r>
      <w:r>
        <w:fldChar w:fldCharType="separate"/>
      </w:r>
      <w:r>
        <w:t xml:space="preserve">clause </w:t>
      </w:r>
      <w:r>
        <w:fldChar w:fldCharType="end"/>
      </w:r>
      <w:r>
        <w:fldChar w:fldCharType="begin"/>
      </w:r>
      <w:r>
        <w:rPr>
          <w:highlight w:val="lightGray"/>
        </w:rPr>
        <w:instrText>REF a640922 \h \w</w:instrText>
      </w:r>
      <w:r>
        <w:fldChar w:fldCharType="separate"/>
      </w:r>
      <w:r>
        <w:t>2</w:t>
      </w:r>
      <w:r>
        <w:fldChar w:fldCharType="end"/>
      </w:r>
      <w:r>
        <w:t xml:space="preserve">. </w:t>
      </w:r>
      <w:bookmarkEnd w:id="6"/>
    </w:p>
    <w:p w14:paraId="1CF36F2C" w14:textId="4D13FFB6" w:rsidR="00866F0D" w:rsidRDefault="00000000">
      <w:pPr>
        <w:pStyle w:val="DefinedTermPara"/>
        <w:rPr>
          <w:rStyle w:val="DefTerm"/>
        </w:rPr>
      </w:pPr>
      <w:bookmarkStart w:id="7" w:name="a640336"/>
      <w:r>
        <w:rPr>
          <w:rStyle w:val="DefTerm"/>
        </w:rPr>
        <w:t>Group</w:t>
      </w:r>
      <w:r>
        <w:rPr>
          <w:rStyle w:val="DefTerm"/>
        </w:rPr>
        <w:fldChar w:fldCharType="begin"/>
      </w:r>
      <w:r>
        <w:rPr>
          <w:rStyle w:val="DefTerm"/>
        </w:rPr>
        <w:instrText xml:space="preserve"> MACROBUTTON optional </w:instrText>
      </w:r>
      <w:r>
        <w:rPr>
          <w:rStyle w:val="DefTerm"/>
        </w:rPr>
        <w:fldChar w:fldCharType="end"/>
      </w:r>
      <w:r>
        <w:t xml:space="preserve">: in relation to a company, that company, any subsidiary or holding company from time to time of that company, and any subsidiary from time to time of a holding company of that </w:t>
      </w:r>
      <w:commentRangeStart w:id="8"/>
      <w:r>
        <w:t>company</w:t>
      </w:r>
      <w:commentRangeEnd w:id="8"/>
      <w:r w:rsidR="00255308">
        <w:rPr>
          <w:rStyle w:val="CommentReference"/>
          <w:sz w:val="24"/>
          <w:szCs w:val="20"/>
        </w:rPr>
        <w:commentReference w:id="8"/>
      </w:r>
      <w:r>
        <w:t>. Each company in a Group is a member of the Group.</w:t>
      </w:r>
      <w:bookmarkEnd w:id="7"/>
      <w:r w:rsidR="005C31B1">
        <w:t xml:space="preserve"> </w:t>
      </w:r>
    </w:p>
    <w:p w14:paraId="41FCB3F7" w14:textId="592C7A74" w:rsidR="00866F0D" w:rsidRDefault="00000000">
      <w:pPr>
        <w:pStyle w:val="DefinedTermPara"/>
        <w:rPr>
          <w:rStyle w:val="DefTerm"/>
        </w:rPr>
      </w:pPr>
      <w:bookmarkStart w:id="9" w:name="a533519"/>
      <w:r>
        <w:rPr>
          <w:rStyle w:val="DefTerm"/>
        </w:rPr>
        <w:t>Group Company</w:t>
      </w:r>
      <w:r>
        <w:rPr>
          <w:rStyle w:val="DefTerm"/>
        </w:rPr>
        <w:fldChar w:fldCharType="begin"/>
      </w:r>
      <w:r>
        <w:rPr>
          <w:rStyle w:val="DefTerm"/>
        </w:rPr>
        <w:instrText xml:space="preserve"> MACROBUTTON optional </w:instrText>
      </w:r>
      <w:r>
        <w:rPr>
          <w:rStyle w:val="DefTerm"/>
        </w:rPr>
        <w:fldChar w:fldCharType="end"/>
      </w:r>
      <w:r>
        <w:t>: in relation to a company, any member of its Group.</w:t>
      </w:r>
      <w:bookmarkEnd w:id="9"/>
      <w:r w:rsidR="005C31B1">
        <w:t xml:space="preserve"> </w:t>
      </w:r>
    </w:p>
    <w:p w14:paraId="1690E16D" w14:textId="7F651064" w:rsidR="00866F0D" w:rsidRDefault="00000000">
      <w:pPr>
        <w:pStyle w:val="DefinedTermPara"/>
        <w:rPr>
          <w:rStyle w:val="DefTerm"/>
        </w:rPr>
      </w:pPr>
      <w:bookmarkStart w:id="10" w:name="a154192"/>
      <w:r>
        <w:rPr>
          <w:rStyle w:val="DefTerm"/>
        </w:rPr>
        <w:t>Holding company</w:t>
      </w:r>
      <w:r>
        <w:t xml:space="preserve">: has the meaning give in </w:t>
      </w:r>
      <w:r>
        <w:fldChar w:fldCharType="begin"/>
      </w:r>
      <w:r>
        <w:instrText>PAGEREF a545323\# "'clause '"  \h</w:instrText>
      </w:r>
      <w:r>
        <w:fldChar w:fldCharType="separate"/>
      </w:r>
      <w:r>
        <w:t xml:space="preserve">clause </w:t>
      </w:r>
      <w:r>
        <w:fldChar w:fldCharType="end"/>
      </w:r>
      <w:r>
        <w:fldChar w:fldCharType="begin"/>
      </w:r>
      <w:r>
        <w:rPr>
          <w:highlight w:val="lightGray"/>
        </w:rPr>
        <w:instrText>REF a545323 \h \w</w:instrText>
      </w:r>
      <w:r>
        <w:fldChar w:fldCharType="separate"/>
      </w:r>
      <w:r>
        <w:t>1.2(e)</w:t>
      </w:r>
      <w:r>
        <w:fldChar w:fldCharType="end"/>
      </w:r>
      <w:r>
        <w:t>.</w:t>
      </w:r>
      <w:bookmarkEnd w:id="10"/>
      <w:r w:rsidR="005C31B1">
        <w:t xml:space="preserve"> </w:t>
      </w:r>
    </w:p>
    <w:p w14:paraId="4F24CC24" w14:textId="73DCDB75" w:rsidR="00866F0D" w:rsidRDefault="00000000">
      <w:pPr>
        <w:pStyle w:val="DefinedTermPara"/>
        <w:rPr>
          <w:rStyle w:val="DefTerm"/>
        </w:rPr>
      </w:pPr>
      <w:bookmarkStart w:id="11" w:name="a729283"/>
      <w:r>
        <w:rPr>
          <w:rStyle w:val="DefTerm"/>
        </w:rPr>
        <w:t>Purpose</w:t>
      </w:r>
      <w:r>
        <w:t xml:space="preserve">: </w:t>
      </w:r>
      <w:r w:rsidR="00D50477">
        <w:t xml:space="preserve">The evaluation of a potential collaboration between </w:t>
      </w:r>
      <w:r w:rsidR="00596661">
        <w:t>Analyst AI</w:t>
      </w:r>
      <w:r w:rsidR="00D50477">
        <w:t xml:space="preserve"> and </w:t>
      </w:r>
      <w:r w:rsidR="00596661">
        <w:t>Bristol Capital</w:t>
      </w:r>
      <w:r w:rsidR="00D50477">
        <w:t xml:space="preserve"> </w:t>
      </w:r>
      <w:bookmarkEnd w:id="11"/>
    </w:p>
    <w:p w14:paraId="51B86E19" w14:textId="76F1D2B1" w:rsidR="00866F0D" w:rsidRDefault="00000000">
      <w:pPr>
        <w:pStyle w:val="DefinedTermPara"/>
        <w:rPr>
          <w:rStyle w:val="DefTerm"/>
        </w:rPr>
      </w:pPr>
      <w:bookmarkStart w:id="12" w:name="a992977"/>
      <w:r>
        <w:rPr>
          <w:rStyle w:val="DefTerm"/>
        </w:rPr>
        <w:t>Representative(s)</w:t>
      </w:r>
      <w:r>
        <w:t xml:space="preserve">: in relation to each party and any member of its Group: </w:t>
      </w:r>
      <w:bookmarkEnd w:id="12"/>
    </w:p>
    <w:p w14:paraId="2B6499F0" w14:textId="138AA7DF" w:rsidR="00866F0D" w:rsidRDefault="00000000">
      <w:pPr>
        <w:pStyle w:val="DefinedTermNumber"/>
      </w:pPr>
      <w:r>
        <w:t xml:space="preserve">its officers and employees that need to know the Confidential Information for the </w:t>
      </w:r>
      <w:commentRangeStart w:id="13"/>
      <w:r>
        <w:t>Purpose</w:t>
      </w:r>
      <w:commentRangeEnd w:id="13"/>
      <w:r w:rsidR="00255308">
        <w:rPr>
          <w:rStyle w:val="CommentReference"/>
          <w:sz w:val="24"/>
          <w:szCs w:val="20"/>
        </w:rPr>
        <w:commentReference w:id="13"/>
      </w:r>
      <w:r>
        <w:t>;</w:t>
      </w:r>
      <w:r w:rsidR="005C31B1">
        <w:t xml:space="preserve"> </w:t>
      </w:r>
    </w:p>
    <w:p w14:paraId="4D725265" w14:textId="77172602" w:rsidR="00866F0D" w:rsidRDefault="00000000">
      <w:pPr>
        <w:pStyle w:val="DefinedTermNumber"/>
      </w:pPr>
      <w:r>
        <w:t>its professional advisers in connection with the Purpose;</w:t>
      </w:r>
      <w:r w:rsidR="00D50477">
        <w:t xml:space="preserve"> and</w:t>
      </w:r>
      <w:r w:rsidR="005C31B1">
        <w:t xml:space="preserve"> </w:t>
      </w:r>
    </w:p>
    <w:p w14:paraId="00227405" w14:textId="621F5169" w:rsidR="00866F0D" w:rsidRDefault="00000000">
      <w:pPr>
        <w:pStyle w:val="DefinedTermNumber"/>
      </w:pPr>
      <w:r>
        <w:t>any other person to whom the other party agrees in writing that Confidential Information may be disclosed in connection with the Purpose.</w:t>
      </w:r>
      <w:r w:rsidR="005C31B1">
        <w:t xml:space="preserve"> </w:t>
      </w:r>
    </w:p>
    <w:p w14:paraId="44C99C9D" w14:textId="61DFB329" w:rsidR="00866F0D" w:rsidRDefault="00000000">
      <w:pPr>
        <w:pStyle w:val="DefinedTermPara"/>
        <w:rPr>
          <w:rStyle w:val="DefTerm"/>
        </w:rPr>
      </w:pPr>
      <w:bookmarkStart w:id="14" w:name="a968154"/>
      <w:r>
        <w:rPr>
          <w:rStyle w:val="DefTerm"/>
        </w:rPr>
        <w:lastRenderedPageBreak/>
        <w:t>Subsidiary</w:t>
      </w:r>
      <w:r>
        <w:t xml:space="preserve">: has the meaning given in </w:t>
      </w:r>
      <w:r>
        <w:fldChar w:fldCharType="begin"/>
      </w:r>
      <w:r>
        <w:instrText>PAGEREF a545323\# "'clause '"  \h</w:instrText>
      </w:r>
      <w:r>
        <w:fldChar w:fldCharType="separate"/>
      </w:r>
      <w:r>
        <w:t xml:space="preserve">clause </w:t>
      </w:r>
      <w:r>
        <w:fldChar w:fldCharType="end"/>
      </w:r>
      <w:r>
        <w:fldChar w:fldCharType="begin"/>
      </w:r>
      <w:r>
        <w:rPr>
          <w:highlight w:val="lightGray"/>
        </w:rPr>
        <w:instrText>REF a545323 \h \w</w:instrText>
      </w:r>
      <w:r>
        <w:fldChar w:fldCharType="separate"/>
      </w:r>
      <w:r>
        <w:t>1.2(e)</w:t>
      </w:r>
      <w:r>
        <w:fldChar w:fldCharType="end"/>
      </w:r>
      <w:r>
        <w:t>.</w:t>
      </w:r>
      <w:bookmarkEnd w:id="14"/>
      <w:r w:rsidR="005C31B1">
        <w:t xml:space="preserve"> </w:t>
      </w:r>
    </w:p>
    <w:p w14:paraId="058A00BE" w14:textId="77777777" w:rsidR="00866F0D" w:rsidRPr="000765B9" w:rsidRDefault="00000000">
      <w:pPr>
        <w:pStyle w:val="Untitledsubclause1"/>
        <w:rPr>
          <w:b/>
        </w:rPr>
      </w:pPr>
      <w:bookmarkStart w:id="15" w:name="a711755"/>
      <w:r>
        <w:rPr>
          <w:b/>
        </w:rPr>
        <w:t>Interpretation</w:t>
      </w:r>
      <w:bookmarkEnd w:id="15"/>
    </w:p>
    <w:p w14:paraId="1A4B2263" w14:textId="60A9A17B" w:rsidR="00866F0D" w:rsidRDefault="00000000">
      <w:pPr>
        <w:pStyle w:val="Untitledsubclause2"/>
      </w:pPr>
      <w:bookmarkStart w:id="16" w:name="a290561"/>
      <w:r>
        <w:t>A reference to legislation or a legislative provision is a reference to it as amended, extended or re-enacted from time to time. A reference to legislation or a legislative provision includes all subordinate legislation made from time to time under that legislation or legislative provision.</w:t>
      </w:r>
      <w:bookmarkEnd w:id="16"/>
      <w:r w:rsidR="005C31B1">
        <w:t xml:space="preserve"> </w:t>
      </w:r>
    </w:p>
    <w:p w14:paraId="4F72EDA1" w14:textId="41B16E55" w:rsidR="00866F0D" w:rsidRDefault="00000000">
      <w:pPr>
        <w:pStyle w:val="Untitledsubclause2"/>
      </w:pPr>
      <w:bookmarkStart w:id="17" w:name="a946899"/>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construed as illustrative and shall not limit the sense of the words, description, definition, phrase or term preceding those terms.</w:t>
      </w:r>
      <w:bookmarkEnd w:id="17"/>
      <w:r w:rsidR="005C31B1">
        <w:t xml:space="preserve"> </w:t>
      </w:r>
    </w:p>
    <w:p w14:paraId="07132623" w14:textId="20253F23" w:rsidR="00866F0D" w:rsidRDefault="00000000">
      <w:pPr>
        <w:pStyle w:val="Untitledsubclause2"/>
      </w:pPr>
      <w:bookmarkStart w:id="18" w:name="a813964"/>
      <w:r>
        <w:t xml:space="preserve">A reference to </w:t>
      </w:r>
      <w:r>
        <w:rPr>
          <w:b/>
          <w:bCs/>
        </w:rPr>
        <w:t>writing</w:t>
      </w:r>
      <w:r>
        <w:t xml:space="preserve"> or </w:t>
      </w:r>
      <w:r>
        <w:rPr>
          <w:b/>
          <w:bCs/>
        </w:rPr>
        <w:t>written</w:t>
      </w:r>
      <w:r>
        <w:t xml:space="preserve"> excludes fax [and email </w:t>
      </w:r>
      <w:r>
        <w:rPr>
          <w:b/>
          <w:bCs/>
        </w:rPr>
        <w:t>OR</w:t>
      </w:r>
      <w:r>
        <w:t xml:space="preserve"> but not email].</w:t>
      </w:r>
      <w:bookmarkEnd w:id="18"/>
      <w:r w:rsidR="005C31B1">
        <w:t xml:space="preserve"> </w:t>
      </w:r>
    </w:p>
    <w:p w14:paraId="04AACEBB" w14:textId="5825BD4B" w:rsidR="00866F0D" w:rsidRDefault="00000000">
      <w:pPr>
        <w:pStyle w:val="Untitledsubclause2"/>
      </w:pPr>
      <w:bookmarkStart w:id="19" w:name="a672082"/>
      <w:r>
        <w:t xml:space="preserve">A reference to a </w:t>
      </w:r>
      <w:r>
        <w:rPr>
          <w:b/>
        </w:rPr>
        <w:t>company</w:t>
      </w:r>
      <w:r>
        <w:t xml:space="preserve"> includes any company, corporation or other body corporate, wherever and however incorporated or established.</w:t>
      </w:r>
      <w:bookmarkEnd w:id="19"/>
      <w:r w:rsidR="005C31B1">
        <w:t xml:space="preserve"> </w:t>
      </w:r>
    </w:p>
    <w:p w14:paraId="27C99063" w14:textId="79CA1BFB" w:rsidR="00866F0D" w:rsidRDefault="00000000">
      <w:pPr>
        <w:pStyle w:val="Untitledsubclause2"/>
      </w:pPr>
      <w:bookmarkStart w:id="20" w:name="a545323"/>
      <w:r>
        <w:t xml:space="preserve">A reference to a </w:t>
      </w:r>
      <w:r>
        <w:rPr>
          <w:b/>
        </w:rPr>
        <w:t>holding company</w:t>
      </w:r>
      <w:r>
        <w:t xml:space="preserve"> or a </w:t>
      </w:r>
      <w:r>
        <w:rPr>
          <w:b/>
        </w:rPr>
        <w:t>subsidiary</w:t>
      </w:r>
      <w:r>
        <w:t xml:space="preserve"> means a holding company or a subsidiary (as the case may be) as defined in section 1159 of the Companies Act 2006 and a company shall be treated, for the purposes only of the membership requirement contained in section 1159(1)(b) and (c), as a member of another company even if its shares in that other company are registered in the name of:</w:t>
      </w:r>
      <w:bookmarkEnd w:id="20"/>
    </w:p>
    <w:p w14:paraId="7AB4DF22" w14:textId="226B1BCC" w:rsidR="00866F0D" w:rsidRDefault="00000000">
      <w:pPr>
        <w:pStyle w:val="Untitledsubclause3"/>
      </w:pPr>
      <w:bookmarkStart w:id="21" w:name="a748883"/>
      <w:r>
        <w:t>another person (or its nominee) by way of security or in connection with the taking of security; or</w:t>
      </w:r>
      <w:bookmarkEnd w:id="21"/>
      <w:r w:rsidR="005C31B1">
        <w:t xml:space="preserve"> </w:t>
      </w:r>
    </w:p>
    <w:p w14:paraId="07E10BE6" w14:textId="59A06258" w:rsidR="00866F0D" w:rsidRDefault="00000000">
      <w:pPr>
        <w:pStyle w:val="Untitledsubclause3"/>
      </w:pPr>
      <w:bookmarkStart w:id="22" w:name="a836809"/>
      <w:r>
        <w:t>its nominee.</w:t>
      </w:r>
      <w:bookmarkEnd w:id="22"/>
    </w:p>
    <w:p w14:paraId="04609239" w14:textId="77777777" w:rsidR="00866F0D" w:rsidRDefault="00000000">
      <w:pPr>
        <w:pStyle w:val="Untitledsubclause2"/>
      </w:pPr>
      <w:bookmarkStart w:id="23" w:name="a137537"/>
      <w:r>
        <w:t>Any obligation on a party not to do something includes an obligation not to allow that thing to be done.</w:t>
      </w:r>
      <w:bookmarkEnd w:id="23"/>
    </w:p>
    <w:p w14:paraId="07D63B00" w14:textId="2DFE7506" w:rsidR="00866F0D" w:rsidRDefault="00000000">
      <w:pPr>
        <w:pStyle w:val="TitleClause"/>
      </w:pPr>
      <w:r>
        <w:fldChar w:fldCharType="begin"/>
      </w:r>
      <w:r>
        <w:instrText>TC "2. Confidential Information" \l 1</w:instrText>
      </w:r>
      <w:r>
        <w:fldChar w:fldCharType="end"/>
      </w:r>
      <w:bookmarkStart w:id="24" w:name="_Toc256000001"/>
      <w:bookmarkStart w:id="25" w:name="a640922"/>
      <w:r>
        <w:t>Confidential Information</w:t>
      </w:r>
      <w:bookmarkEnd w:id="24"/>
      <w:bookmarkEnd w:id="25"/>
      <w:r w:rsidR="005C31B1">
        <w:t xml:space="preserve"> </w:t>
      </w:r>
    </w:p>
    <w:p w14:paraId="7BA65208" w14:textId="4BB19E23" w:rsidR="00866F0D" w:rsidRDefault="00000000" w:rsidP="003A449A">
      <w:pPr>
        <w:pStyle w:val="Untitledsubclause1"/>
      </w:pPr>
      <w:bookmarkStart w:id="26" w:name="a421681"/>
      <w:r>
        <w:rPr>
          <w:b/>
        </w:rPr>
        <w:t>Confidential Information</w:t>
      </w:r>
      <w:r>
        <w:t xml:space="preserve"> means all confidential information relating to the Purpose which </w:t>
      </w:r>
      <w:r w:rsidR="00596661">
        <w:t>Analyst AI</w:t>
      </w:r>
      <w:r>
        <w:t xml:space="preserve"> or its Representatives or any of its Group Companies, or their Representatives directly or indirectly discloses, or makes available, to </w:t>
      </w:r>
      <w:r w:rsidR="00596661">
        <w:t>Bristol Capital</w:t>
      </w:r>
      <w:r>
        <w:t xml:space="preserve"> or its Representatives or any of its Group Companies, or their Representatives, before, on or after the date of this </w:t>
      </w:r>
      <w:commentRangeStart w:id="27"/>
      <w:r>
        <w:t>agreement</w:t>
      </w:r>
      <w:commentRangeEnd w:id="27"/>
      <w:r w:rsidR="00255308">
        <w:rPr>
          <w:rStyle w:val="CommentReference"/>
          <w:sz w:val="24"/>
          <w:szCs w:val="20"/>
        </w:rPr>
        <w:commentReference w:id="27"/>
      </w:r>
      <w:r>
        <w:t xml:space="preserve">. </w:t>
      </w:r>
      <w:bookmarkEnd w:id="26"/>
    </w:p>
    <w:p w14:paraId="36A5E74E" w14:textId="319C9B4E" w:rsidR="00866F0D" w:rsidRDefault="00000000">
      <w:pPr>
        <w:pStyle w:val="Untitledsubclause1"/>
      </w:pPr>
      <w:bookmarkStart w:id="28" w:name="a600860"/>
      <w:r>
        <w:t>Information is not Confidential Information if:</w:t>
      </w:r>
      <w:bookmarkEnd w:id="28"/>
    </w:p>
    <w:p w14:paraId="15A7727B" w14:textId="6C3D7338" w:rsidR="00866F0D" w:rsidRDefault="00000000">
      <w:pPr>
        <w:pStyle w:val="Untitledsubclause2"/>
      </w:pPr>
      <w:bookmarkStart w:id="29" w:name="a895488"/>
      <w:r>
        <w:t xml:space="preserve">it is, or becomes, generally available to the public other than as a direct or indirect result of the information being disclosed by </w:t>
      </w:r>
      <w:r w:rsidR="00596661">
        <w:t>Bristol Capital</w:t>
      </w:r>
      <w:r>
        <w:t xml:space="preserve"> or its Representatives or by any of </w:t>
      </w:r>
      <w:r w:rsidR="00596661">
        <w:t>Bristol Capital</w:t>
      </w:r>
      <w:r>
        <w:t>'s Group Companies or their Representatives</w:t>
      </w:r>
      <w:r w:rsidR="003A449A">
        <w:t xml:space="preserve"> </w:t>
      </w:r>
      <w:r>
        <w:t>in breach of this agreement</w:t>
      </w:r>
      <w:bookmarkEnd w:id="29"/>
      <w:r w:rsidR="003A449A">
        <w:t>;</w:t>
      </w:r>
      <w:r w:rsidR="005C31B1">
        <w:t xml:space="preserve"> </w:t>
      </w:r>
    </w:p>
    <w:p w14:paraId="53DF95AD" w14:textId="68A810C4" w:rsidR="00866F0D" w:rsidRDefault="00000000">
      <w:pPr>
        <w:pStyle w:val="Untitledsubclause2"/>
      </w:pPr>
      <w:bookmarkStart w:id="30" w:name="a994113"/>
      <w:r>
        <w:lastRenderedPageBreak/>
        <w:t xml:space="preserve">it was available to </w:t>
      </w:r>
      <w:r w:rsidR="00596661">
        <w:t>Bristol Capital</w:t>
      </w:r>
      <w:r>
        <w:t xml:space="preserve"> on a non-confidential basis prior to disclosure by </w:t>
      </w:r>
      <w:r w:rsidR="00596661">
        <w:t>Analyst AI</w:t>
      </w:r>
      <w:r>
        <w:t>;</w:t>
      </w:r>
      <w:bookmarkEnd w:id="30"/>
      <w:r w:rsidR="005C31B1">
        <w:t xml:space="preserve"> </w:t>
      </w:r>
    </w:p>
    <w:p w14:paraId="437DE224" w14:textId="38D85D24" w:rsidR="00866F0D" w:rsidRDefault="00000000">
      <w:pPr>
        <w:pStyle w:val="Untitledsubclause2"/>
      </w:pPr>
      <w:bookmarkStart w:id="31" w:name="a220762"/>
      <w:r>
        <w:t xml:space="preserve">it was, is, or becomes available to </w:t>
      </w:r>
      <w:r w:rsidR="00596661">
        <w:t>Bristol Capital</w:t>
      </w:r>
      <w:r>
        <w:t xml:space="preserve"> on a non-confidential basis from a person who, to </w:t>
      </w:r>
      <w:r w:rsidR="00596661">
        <w:t>Bristol Capital</w:t>
      </w:r>
      <w:r>
        <w:t>'s knowledge, is not under any confidentiality obligation in respect of that information;</w:t>
      </w:r>
      <w:bookmarkEnd w:id="31"/>
      <w:r w:rsidR="005C31B1">
        <w:t xml:space="preserve"> </w:t>
      </w:r>
    </w:p>
    <w:p w14:paraId="4F59662E" w14:textId="3AD80A83" w:rsidR="00866F0D" w:rsidRDefault="00000000">
      <w:pPr>
        <w:pStyle w:val="Untitledsubclause2"/>
      </w:pPr>
      <w:bookmarkStart w:id="32" w:name="a744975"/>
      <w:r>
        <w:t xml:space="preserve">it was lawfully in the possession of </w:t>
      </w:r>
      <w:r w:rsidR="00596661">
        <w:t>Bristol Capital</w:t>
      </w:r>
      <w:r>
        <w:t xml:space="preserve"> before the information was disclosed by </w:t>
      </w:r>
      <w:r w:rsidR="00596661">
        <w:t>Analyst AI</w:t>
      </w:r>
      <w:r>
        <w:t>; and</w:t>
      </w:r>
      <w:bookmarkEnd w:id="32"/>
      <w:r w:rsidR="005C31B1">
        <w:t xml:space="preserve"> </w:t>
      </w:r>
    </w:p>
    <w:p w14:paraId="46A51308" w14:textId="109B3E7B" w:rsidR="00866F0D" w:rsidRDefault="00000000">
      <w:pPr>
        <w:pStyle w:val="Untitledsubclause2"/>
      </w:pPr>
      <w:bookmarkStart w:id="33" w:name="a575434"/>
      <w:r>
        <w:t>the parties agree in writing that the information is not confidential.</w:t>
      </w:r>
      <w:bookmarkEnd w:id="33"/>
    </w:p>
    <w:p w14:paraId="45D80414" w14:textId="0567CCAA" w:rsidR="00866F0D" w:rsidRDefault="00000000">
      <w:pPr>
        <w:pStyle w:val="TitleClause"/>
      </w:pPr>
      <w:r>
        <w:fldChar w:fldCharType="begin"/>
      </w:r>
      <w:r>
        <w:instrText>TC "3. Confidentiality obligations" \l 1</w:instrText>
      </w:r>
      <w:r>
        <w:fldChar w:fldCharType="end"/>
      </w:r>
      <w:bookmarkStart w:id="34" w:name="_Toc256000002"/>
      <w:bookmarkStart w:id="35" w:name="a972850"/>
      <w:r>
        <w:t>Confidentiality obligations</w:t>
      </w:r>
      <w:bookmarkEnd w:id="34"/>
      <w:bookmarkEnd w:id="35"/>
      <w:r w:rsidR="005C31B1">
        <w:t xml:space="preserve"> </w:t>
      </w:r>
    </w:p>
    <w:p w14:paraId="0B215BDE" w14:textId="4D44F01F" w:rsidR="00866F0D" w:rsidRDefault="00000000">
      <w:pPr>
        <w:pStyle w:val="Untitledsubclause1"/>
      </w:pPr>
      <w:bookmarkStart w:id="36" w:name="a944856"/>
      <w:r>
        <w:t xml:space="preserve">In return for </w:t>
      </w:r>
      <w:r w:rsidR="00596661">
        <w:t>Analyst AI</w:t>
      </w:r>
      <w:r>
        <w:t xml:space="preserve"> making Confidential Information available to </w:t>
      </w:r>
      <w:r w:rsidR="00596661">
        <w:t>Bristol Capital</w:t>
      </w:r>
      <w:r>
        <w:t xml:space="preserve">, </w:t>
      </w:r>
      <w:r w:rsidR="00596661">
        <w:t>Bristol Capital</w:t>
      </w:r>
      <w:r>
        <w:t xml:space="preserve"> undertakes to </w:t>
      </w:r>
      <w:r w:rsidR="00596661">
        <w:t>Analyst AI</w:t>
      </w:r>
      <w:r>
        <w:t xml:space="preserve"> that it </w:t>
      </w:r>
      <w:commentRangeStart w:id="37"/>
      <w:r>
        <w:t>shall</w:t>
      </w:r>
      <w:commentRangeEnd w:id="37"/>
      <w:r w:rsidR="00333085">
        <w:rPr>
          <w:rStyle w:val="CommentReference"/>
          <w:sz w:val="24"/>
          <w:szCs w:val="20"/>
        </w:rPr>
        <w:commentReference w:id="37"/>
      </w:r>
      <w:r>
        <w:t>:</w:t>
      </w:r>
      <w:bookmarkEnd w:id="36"/>
    </w:p>
    <w:p w14:paraId="19CE1D02" w14:textId="43F62A94" w:rsidR="00866F0D" w:rsidRDefault="00000000">
      <w:pPr>
        <w:pStyle w:val="Untitledsubclause2"/>
      </w:pPr>
      <w:bookmarkStart w:id="38" w:name="a403426"/>
      <w:r>
        <w:t>keep the Confidential Information secret and confidential;</w:t>
      </w:r>
      <w:bookmarkEnd w:id="38"/>
      <w:r w:rsidR="005C31B1">
        <w:t xml:space="preserve"> </w:t>
      </w:r>
    </w:p>
    <w:p w14:paraId="133B8289" w14:textId="17A03DA5" w:rsidR="00866F0D" w:rsidRDefault="00000000">
      <w:pPr>
        <w:pStyle w:val="Untitledsubclause2"/>
      </w:pPr>
      <w:bookmarkStart w:id="39" w:name="a987679"/>
      <w:r>
        <w:t xml:space="preserve">not use or exploit the Confidential Information in any way except for the Purpose; </w:t>
      </w:r>
      <w:bookmarkEnd w:id="39"/>
    </w:p>
    <w:p w14:paraId="6D0B8D12" w14:textId="201C1278" w:rsidR="00866F0D" w:rsidRDefault="00000000">
      <w:pPr>
        <w:pStyle w:val="Untitledsubclause2"/>
      </w:pPr>
      <w:bookmarkStart w:id="40" w:name="a246211"/>
      <w:r>
        <w:t xml:space="preserve">not directly or indirectly disclose or make available any Confidential Information in whole or in part to any person, except as expressly permitted by, and in accordance with this agreement; </w:t>
      </w:r>
      <w:bookmarkEnd w:id="40"/>
      <w:r w:rsidR="003A449A">
        <w:t xml:space="preserve">and </w:t>
      </w:r>
    </w:p>
    <w:p w14:paraId="19E16B8E" w14:textId="240F7298" w:rsidR="00866F0D" w:rsidRDefault="00000000">
      <w:pPr>
        <w:pStyle w:val="Untitledsubclause2"/>
      </w:pPr>
      <w:r>
        <w:fldChar w:fldCharType="begin"/>
      </w:r>
      <w:r>
        <w:fldChar w:fldCharType="end"/>
      </w:r>
      <w:bookmarkStart w:id="41" w:name="a920151"/>
      <w:r>
        <w:t xml:space="preserve">ensure that any document or other records containing Confidential Information shall be kept at its premises at </w:t>
      </w:r>
      <w:r w:rsidR="003A449A">
        <w:t xml:space="preserve">20 Longfellow Road, London, SW11 9GO </w:t>
      </w:r>
      <w:r>
        <w:t xml:space="preserve">and shall not remove or allow those documents and records to be moved from those </w:t>
      </w:r>
      <w:commentRangeStart w:id="42"/>
      <w:r>
        <w:t>premises</w:t>
      </w:r>
      <w:bookmarkEnd w:id="41"/>
      <w:commentRangeEnd w:id="42"/>
      <w:r w:rsidR="00333085">
        <w:rPr>
          <w:rStyle w:val="CommentReference"/>
          <w:sz w:val="24"/>
          <w:szCs w:val="20"/>
        </w:rPr>
        <w:commentReference w:id="42"/>
      </w:r>
      <w:r w:rsidR="003A449A">
        <w:t>.</w:t>
      </w:r>
    </w:p>
    <w:p w14:paraId="1734CC00" w14:textId="2CEFC9FE" w:rsidR="00866F0D" w:rsidRDefault="00596661">
      <w:pPr>
        <w:pStyle w:val="Untitledsubclause1"/>
      </w:pPr>
      <w:bookmarkStart w:id="43" w:name="a163012"/>
      <w:r>
        <w:t xml:space="preserve">Bristol Capital shall establish and maintain </w:t>
      </w:r>
      <w:r w:rsidR="00DD52EB">
        <w:t xml:space="preserve">the highest </w:t>
      </w:r>
      <w:r>
        <w:t xml:space="preserve">security measures (including any security measures proposed by Analyst AI from time to time) to safeguard the Confidential Information from unauthorised access or </w:t>
      </w:r>
      <w:commentRangeStart w:id="44"/>
      <w:r>
        <w:t>use</w:t>
      </w:r>
      <w:commentRangeEnd w:id="44"/>
      <w:r w:rsidR="00333085">
        <w:rPr>
          <w:rStyle w:val="CommentReference"/>
          <w:sz w:val="24"/>
          <w:szCs w:val="20"/>
        </w:rPr>
        <w:commentReference w:id="44"/>
      </w:r>
      <w:r>
        <w:t xml:space="preserve">. </w:t>
      </w:r>
      <w:bookmarkEnd w:id="43"/>
    </w:p>
    <w:p w14:paraId="5F82E282" w14:textId="23C6FDB8" w:rsidR="00866F0D" w:rsidRDefault="00000000">
      <w:pPr>
        <w:pStyle w:val="TitleClause"/>
      </w:pPr>
      <w:r>
        <w:fldChar w:fldCharType="begin"/>
      </w:r>
      <w:r>
        <w:instrText>TC "4. Permitted disclosure" \l 1</w:instrText>
      </w:r>
      <w:r>
        <w:fldChar w:fldCharType="end"/>
      </w:r>
      <w:bookmarkStart w:id="45" w:name="_Toc256000003"/>
      <w:bookmarkStart w:id="46" w:name="a420225"/>
      <w:r>
        <w:t>Permitted disclosure</w:t>
      </w:r>
      <w:bookmarkEnd w:id="45"/>
      <w:bookmarkEnd w:id="46"/>
      <w:r w:rsidR="005C31B1">
        <w:t xml:space="preserve"> </w:t>
      </w:r>
    </w:p>
    <w:p w14:paraId="3B386C25" w14:textId="0AAA2DC5" w:rsidR="00866F0D" w:rsidRDefault="00596661">
      <w:pPr>
        <w:pStyle w:val="Untitledsubclause1"/>
      </w:pPr>
      <w:bookmarkStart w:id="47" w:name="a603176"/>
      <w:r>
        <w:t>Bristol Capital may disclose the Confidential Information to its Representatives</w:t>
      </w:r>
      <w:r w:rsidR="00DD52EB">
        <w:t>,</w:t>
      </w:r>
      <w:r>
        <w:t xml:space="preserve"> any of its Group Companies, or their Representatives</w:t>
      </w:r>
      <w:r w:rsidR="00DD52EB">
        <w:t xml:space="preserve"> </w:t>
      </w:r>
      <w:r>
        <w:t>on the basis that it:</w:t>
      </w:r>
      <w:bookmarkEnd w:id="47"/>
    </w:p>
    <w:p w14:paraId="7E9995E3" w14:textId="73D30032" w:rsidR="00866F0D" w:rsidRDefault="00000000">
      <w:pPr>
        <w:pStyle w:val="Untitledsubclause2"/>
      </w:pPr>
      <w:bookmarkStart w:id="48" w:name="a285365"/>
      <w:r>
        <w:t>informs those Representatives, Group Companies, or their Representatives of the confidential nature of the Confidential Information before it is disclosed; and</w:t>
      </w:r>
      <w:bookmarkEnd w:id="48"/>
      <w:r w:rsidR="005C31B1">
        <w:t xml:space="preserve"> </w:t>
      </w:r>
    </w:p>
    <w:p w14:paraId="65182C7C" w14:textId="0BABC623" w:rsidR="00866F0D" w:rsidRDefault="00000000">
      <w:pPr>
        <w:pStyle w:val="Untitledsubclause2"/>
      </w:pPr>
      <w:bookmarkStart w:id="49" w:name="a114453"/>
      <w:r>
        <w:t>procures that those Representatives, Group Companies, or their Representatives</w:t>
      </w:r>
      <w:r w:rsidR="00DD52EB">
        <w:t xml:space="preserve"> </w:t>
      </w:r>
      <w:r>
        <w:t xml:space="preserve">comply with the confidentiality obligations in </w:t>
      </w:r>
      <w:r>
        <w:fldChar w:fldCharType="begin"/>
      </w:r>
      <w:r>
        <w:instrText>PAGEREF a944856\# "'clause '"  \h</w:instrText>
      </w:r>
      <w:r>
        <w:fldChar w:fldCharType="separate"/>
      </w:r>
      <w:r>
        <w:t xml:space="preserve">clause </w:t>
      </w:r>
      <w:r>
        <w:fldChar w:fldCharType="end"/>
      </w:r>
      <w:r>
        <w:fldChar w:fldCharType="begin"/>
      </w:r>
      <w:r>
        <w:rPr>
          <w:highlight w:val="lightGray"/>
        </w:rPr>
        <w:instrText>REF a944856 \h \w</w:instrText>
      </w:r>
      <w:r>
        <w:fldChar w:fldCharType="separate"/>
      </w:r>
      <w:r>
        <w:t>3.1</w:t>
      </w:r>
      <w:r>
        <w:fldChar w:fldCharType="end"/>
      </w:r>
      <w:r>
        <w:t xml:space="preserve"> as if they were </w:t>
      </w:r>
      <w:r w:rsidR="00596661">
        <w:t>Bristol Capital</w:t>
      </w:r>
      <w:r>
        <w:t xml:space="preserve"> and if </w:t>
      </w:r>
      <w:r w:rsidR="00596661">
        <w:t>Analyst AI</w:t>
      </w:r>
      <w:r>
        <w:t xml:space="preserve"> so requests, procure that any of them enters into a confidentiality agreement with </w:t>
      </w:r>
      <w:r w:rsidR="00596661">
        <w:t>Analyst AI</w:t>
      </w:r>
      <w:r>
        <w:t xml:space="preserve"> on terms equivalent to those contained in this agreement; and </w:t>
      </w:r>
      <w:r>
        <w:rPr>
          <w:b/>
        </w:rPr>
        <w:t>OR</w:t>
      </w:r>
      <w:r w:rsidR="005C31B1">
        <w:rPr>
          <w:b/>
        </w:rPr>
        <w:t xml:space="preserve"> </w:t>
      </w:r>
      <w:r>
        <w:t xml:space="preserve"> </w:t>
      </w:r>
      <w:bookmarkEnd w:id="49"/>
    </w:p>
    <w:p w14:paraId="6B6F7706" w14:textId="6F4D4A96" w:rsidR="00866F0D" w:rsidRDefault="00000000">
      <w:pPr>
        <w:pStyle w:val="Untitledsubclause2"/>
      </w:pPr>
      <w:r>
        <w:lastRenderedPageBreak/>
        <w:fldChar w:fldCharType="begin"/>
      </w:r>
      <w:r>
        <w:fldChar w:fldCharType="end"/>
      </w:r>
      <w:bookmarkStart w:id="50" w:name="a944461"/>
      <w:r>
        <w:t xml:space="preserve">keeps a written record of those </w:t>
      </w:r>
      <w:commentRangeStart w:id="51"/>
      <w:r>
        <w:t>persons</w:t>
      </w:r>
      <w:commentRangeEnd w:id="51"/>
      <w:r w:rsidR="00255308">
        <w:rPr>
          <w:rStyle w:val="CommentReference"/>
          <w:sz w:val="24"/>
          <w:szCs w:val="20"/>
        </w:rPr>
        <w:commentReference w:id="51"/>
      </w:r>
      <w:r>
        <w:t>.</w:t>
      </w:r>
      <w:bookmarkEnd w:id="50"/>
    </w:p>
    <w:p w14:paraId="2E360330" w14:textId="3B47D28A" w:rsidR="00866F0D" w:rsidRDefault="00596661">
      <w:pPr>
        <w:pStyle w:val="Untitledsubclause1"/>
      </w:pPr>
      <w:bookmarkStart w:id="52" w:name="a853394"/>
      <w:r>
        <w:t>Bristol Capital shall be liable for the actions or omissions of its Representatives, any of its Group Companies, or their Representatives in relation to the Confidential Information as if they were the actions or omissions of Bristol Capital.</w:t>
      </w:r>
      <w:bookmarkEnd w:id="52"/>
      <w:r w:rsidR="005C31B1">
        <w:t xml:space="preserve"> </w:t>
      </w:r>
    </w:p>
    <w:p w14:paraId="69251264" w14:textId="0CAA16BB" w:rsidR="00866F0D" w:rsidRDefault="00000000">
      <w:pPr>
        <w:pStyle w:val="TitleClause"/>
      </w:pPr>
      <w:r>
        <w:fldChar w:fldCharType="begin"/>
      </w:r>
      <w:r>
        <w:instrText>TC "5. Mandatory disclosure" \l 1</w:instrText>
      </w:r>
      <w:r>
        <w:fldChar w:fldCharType="end"/>
      </w:r>
      <w:bookmarkStart w:id="53" w:name="_Toc256000004"/>
      <w:bookmarkStart w:id="54" w:name="a842695"/>
      <w:r>
        <w:t>Mandatory disclosure</w:t>
      </w:r>
      <w:bookmarkEnd w:id="53"/>
      <w:r w:rsidR="005C31B1">
        <w:t xml:space="preserve"> </w:t>
      </w:r>
      <w:r>
        <w:t xml:space="preserve"> </w:t>
      </w:r>
      <w:bookmarkEnd w:id="54"/>
    </w:p>
    <w:p w14:paraId="4E3F6AE2" w14:textId="30DBF2DF" w:rsidR="00866F0D" w:rsidRDefault="00000000">
      <w:pPr>
        <w:pStyle w:val="Untitledsubclause1"/>
      </w:pPr>
      <w:bookmarkStart w:id="55" w:name="a392560"/>
      <w:r>
        <w:t xml:space="preserve">Subject to the provisions of this </w:t>
      </w:r>
      <w:r>
        <w:fldChar w:fldCharType="begin"/>
      </w:r>
      <w:r>
        <w:instrText>PAGEREF a842695\# "'clause '"  \h</w:instrText>
      </w:r>
      <w:r>
        <w:fldChar w:fldCharType="separate"/>
      </w:r>
      <w:r>
        <w:t xml:space="preserve">clause </w:t>
      </w:r>
      <w:r>
        <w:fldChar w:fldCharType="end"/>
      </w:r>
      <w:r>
        <w:fldChar w:fldCharType="begin"/>
      </w:r>
      <w:r>
        <w:rPr>
          <w:highlight w:val="lightGray"/>
        </w:rPr>
        <w:instrText>REF a842695 \h \w</w:instrText>
      </w:r>
      <w:r>
        <w:fldChar w:fldCharType="separate"/>
      </w:r>
      <w:r>
        <w:t>5</w:t>
      </w:r>
      <w:r>
        <w:fldChar w:fldCharType="end"/>
      </w:r>
      <w:r>
        <w:t xml:space="preserve">, </w:t>
      </w:r>
      <w:r w:rsidR="00596661">
        <w:t>Bristol Capital</w:t>
      </w:r>
      <w:r>
        <w:t xml:space="preserve"> may disclose Confidential Information to the minimum extent required by:</w:t>
      </w:r>
      <w:bookmarkEnd w:id="55"/>
    </w:p>
    <w:p w14:paraId="71F430CC" w14:textId="30476006" w:rsidR="00866F0D" w:rsidRDefault="00000000">
      <w:pPr>
        <w:pStyle w:val="Untitledsubclause2"/>
      </w:pPr>
      <w:bookmarkStart w:id="56" w:name="a733464"/>
      <w:r>
        <w:t>an order of any court of competent jurisdiction or any regulatory, judicial, governmental or similar body or any taxation authority of competent jurisdiction;</w:t>
      </w:r>
      <w:bookmarkEnd w:id="56"/>
      <w:r w:rsidR="005C31B1">
        <w:t xml:space="preserve"> </w:t>
      </w:r>
    </w:p>
    <w:p w14:paraId="4000F400" w14:textId="06BADD72" w:rsidR="00866F0D" w:rsidRDefault="00000000">
      <w:pPr>
        <w:pStyle w:val="Untitledsubclause2"/>
      </w:pPr>
      <w:bookmarkStart w:id="57" w:name="a373389"/>
      <w:r>
        <w:t>the rules of any listing authority or stock exchange on which its shares are listed or traded; or</w:t>
      </w:r>
      <w:bookmarkEnd w:id="57"/>
      <w:r w:rsidR="005C31B1">
        <w:t xml:space="preserve"> </w:t>
      </w:r>
    </w:p>
    <w:p w14:paraId="7F9D816F" w14:textId="77777777" w:rsidR="00866F0D" w:rsidRDefault="00000000">
      <w:pPr>
        <w:pStyle w:val="Untitledsubclause2"/>
      </w:pPr>
      <w:bookmarkStart w:id="58" w:name="a105262"/>
      <w:r>
        <w:t>the laws or regulations of any country to which its affairs are subject.</w:t>
      </w:r>
      <w:bookmarkEnd w:id="58"/>
    </w:p>
    <w:p w14:paraId="587B6C92" w14:textId="6421B8AD" w:rsidR="00866F0D" w:rsidRDefault="00000000">
      <w:pPr>
        <w:pStyle w:val="Untitledsubclause1"/>
      </w:pPr>
      <w:bookmarkStart w:id="59" w:name="a312611"/>
      <w:r>
        <w:t xml:space="preserve">Before </w:t>
      </w:r>
      <w:r w:rsidR="00596661">
        <w:t>Bristol Capital</w:t>
      </w:r>
      <w:r>
        <w:t xml:space="preserve"> discloses any Confidential Information pursuant to </w:t>
      </w:r>
      <w:r>
        <w:fldChar w:fldCharType="begin"/>
      </w:r>
      <w:r>
        <w:instrText>PAGEREF a392560\# "'clause '"  \h</w:instrText>
      </w:r>
      <w:r>
        <w:fldChar w:fldCharType="separate"/>
      </w:r>
      <w:r>
        <w:t xml:space="preserve">clause </w:t>
      </w:r>
      <w:r>
        <w:fldChar w:fldCharType="end"/>
      </w:r>
      <w:r>
        <w:fldChar w:fldCharType="begin"/>
      </w:r>
      <w:r>
        <w:rPr>
          <w:highlight w:val="lightGray"/>
        </w:rPr>
        <w:instrText>REF a392560 \h \w</w:instrText>
      </w:r>
      <w:r>
        <w:fldChar w:fldCharType="separate"/>
      </w:r>
      <w:r>
        <w:t>5.1</w:t>
      </w:r>
      <w:r>
        <w:fldChar w:fldCharType="end"/>
      </w:r>
      <w:r>
        <w:t xml:space="preserve"> it shall, give </w:t>
      </w:r>
      <w:r w:rsidR="00596661">
        <w:t>Analyst AI</w:t>
      </w:r>
      <w:r>
        <w:t xml:space="preserve"> as much notice of this disclosure as </w:t>
      </w:r>
      <w:commentRangeStart w:id="60"/>
      <w:r>
        <w:t>possible</w:t>
      </w:r>
      <w:commentRangeEnd w:id="60"/>
      <w:r w:rsidR="00255308">
        <w:rPr>
          <w:rStyle w:val="CommentReference"/>
          <w:sz w:val="24"/>
          <w:szCs w:val="20"/>
        </w:rPr>
        <w:commentReference w:id="60"/>
      </w:r>
      <w:r>
        <w:t xml:space="preserve">. Where notice of such disclosure is not prohibited and is given in accordance with </w:t>
      </w:r>
      <w:r>
        <w:fldChar w:fldCharType="begin"/>
      </w:r>
      <w:r>
        <w:instrText>PAGEREF a312611\# "'clause '"  \h</w:instrText>
      </w:r>
      <w:r>
        <w:fldChar w:fldCharType="separate"/>
      </w:r>
      <w:r>
        <w:t xml:space="preserve">clause </w:t>
      </w:r>
      <w:r>
        <w:fldChar w:fldCharType="end"/>
      </w:r>
      <w:r>
        <w:fldChar w:fldCharType="begin"/>
      </w:r>
      <w:r>
        <w:rPr>
          <w:highlight w:val="lightGray"/>
        </w:rPr>
        <w:instrText>REF a312611 \h \w</w:instrText>
      </w:r>
      <w:r>
        <w:fldChar w:fldCharType="separate"/>
      </w:r>
      <w:r>
        <w:t>5.2</w:t>
      </w:r>
      <w:r>
        <w:fldChar w:fldCharType="end"/>
      </w:r>
      <w:r>
        <w:t xml:space="preserve">, </w:t>
      </w:r>
      <w:r w:rsidR="00596661">
        <w:t>Bristol Capital</w:t>
      </w:r>
      <w:r>
        <w:t xml:space="preserve"> shall take into account </w:t>
      </w:r>
      <w:r w:rsidR="00596661">
        <w:t>Analyst AI</w:t>
      </w:r>
      <w:r>
        <w:t>'s requests in relation to the content of this disclosure.</w:t>
      </w:r>
      <w:bookmarkEnd w:id="59"/>
      <w:r w:rsidR="005C31B1">
        <w:t xml:space="preserve"> </w:t>
      </w:r>
    </w:p>
    <w:p w14:paraId="1200F070" w14:textId="5874166D" w:rsidR="00866F0D" w:rsidRDefault="00000000">
      <w:pPr>
        <w:pStyle w:val="Untitledsubclause1"/>
      </w:pPr>
      <w:bookmarkStart w:id="61" w:name="a199974"/>
      <w:r>
        <w:t xml:space="preserve">If </w:t>
      </w:r>
      <w:r w:rsidR="00596661">
        <w:t>Bristol Capital</w:t>
      </w:r>
      <w:r>
        <w:t xml:space="preserve"> is unable to inform </w:t>
      </w:r>
      <w:r w:rsidR="00596661">
        <w:t>Analyst AI</w:t>
      </w:r>
      <w:r>
        <w:t xml:space="preserve"> before Confidential Information is disclosed pursuant to </w:t>
      </w:r>
      <w:r>
        <w:fldChar w:fldCharType="begin"/>
      </w:r>
      <w:r>
        <w:instrText>PAGEREF a392560\# "'clause '"  \h</w:instrText>
      </w:r>
      <w:r>
        <w:fldChar w:fldCharType="separate"/>
      </w:r>
      <w:r>
        <w:t xml:space="preserve">clause </w:t>
      </w:r>
      <w:r>
        <w:fldChar w:fldCharType="end"/>
      </w:r>
      <w:r>
        <w:fldChar w:fldCharType="begin"/>
      </w:r>
      <w:r>
        <w:rPr>
          <w:highlight w:val="lightGray"/>
        </w:rPr>
        <w:instrText>REF a392560 \h \w</w:instrText>
      </w:r>
      <w:r>
        <w:fldChar w:fldCharType="separate"/>
      </w:r>
      <w:r>
        <w:t>5.1</w:t>
      </w:r>
      <w:r>
        <w:fldChar w:fldCharType="end"/>
      </w:r>
      <w:r>
        <w:t xml:space="preserve"> it shall, to the extent permitted by law, inform </w:t>
      </w:r>
      <w:r w:rsidR="00596661">
        <w:t>Analyst AI</w:t>
      </w:r>
      <w:r>
        <w:t xml:space="preserve"> of the full circumstances of the disclosure and the information that has been disclosed as soon as reasonably practicable after such disclosure has been made.</w:t>
      </w:r>
      <w:bookmarkEnd w:id="61"/>
      <w:r w:rsidR="005C31B1">
        <w:t xml:space="preserve"> </w:t>
      </w:r>
    </w:p>
    <w:p w14:paraId="4914B288" w14:textId="176926CD" w:rsidR="00866F0D" w:rsidRDefault="00000000">
      <w:pPr>
        <w:pStyle w:val="TitleClause"/>
      </w:pPr>
      <w:r>
        <w:fldChar w:fldCharType="begin"/>
      </w:r>
      <w:r>
        <w:instrText>TC "6. Return or destruction of Confidential Information" \l 1</w:instrText>
      </w:r>
      <w:r>
        <w:fldChar w:fldCharType="end"/>
      </w:r>
      <w:bookmarkStart w:id="62" w:name="_Toc256000005"/>
      <w:bookmarkStart w:id="63" w:name="a560722"/>
      <w:r>
        <w:t>Return or destruction of Confidential Information</w:t>
      </w:r>
      <w:bookmarkEnd w:id="62"/>
      <w:r w:rsidR="005C31B1">
        <w:t xml:space="preserve"> </w:t>
      </w:r>
      <w:r>
        <w:t xml:space="preserve"> </w:t>
      </w:r>
      <w:bookmarkEnd w:id="63"/>
    </w:p>
    <w:p w14:paraId="3A11EDF0" w14:textId="6A2C784B" w:rsidR="00866F0D" w:rsidRDefault="00000000">
      <w:pPr>
        <w:pStyle w:val="Untitledsubclause1"/>
      </w:pPr>
      <w:bookmarkStart w:id="64" w:name="a551108"/>
      <w:r>
        <w:t xml:space="preserve">If so requested by </w:t>
      </w:r>
      <w:r w:rsidR="00596661">
        <w:t>Analyst AI</w:t>
      </w:r>
      <w:r>
        <w:t xml:space="preserve"> at any time by notice in writing to </w:t>
      </w:r>
      <w:r w:rsidR="00596661">
        <w:t>Bristol Capital</w:t>
      </w:r>
      <w:r>
        <w:t xml:space="preserve">, </w:t>
      </w:r>
      <w:r w:rsidR="00596661">
        <w:t>Bristol Capital</w:t>
      </w:r>
      <w:r>
        <w:t xml:space="preserve"> shall promptly:</w:t>
      </w:r>
      <w:bookmarkEnd w:id="64"/>
    </w:p>
    <w:p w14:paraId="5CE1E48E" w14:textId="76A43FB8" w:rsidR="00866F0D" w:rsidRDefault="00000000">
      <w:pPr>
        <w:pStyle w:val="Untitledsubclause2"/>
      </w:pPr>
      <w:bookmarkStart w:id="65" w:name="a678390"/>
      <w:r>
        <w:t xml:space="preserve">destroy or return to </w:t>
      </w:r>
      <w:r w:rsidR="00596661">
        <w:t>Analyst AI</w:t>
      </w:r>
      <w:r w:rsidR="00DD52EB">
        <w:t xml:space="preserve"> </w:t>
      </w:r>
      <w:r>
        <w:t>or permanently erase (including, to the extent legally and technically practicable, from its computer(s) and communications systems and devices or from systems and data storage services provided by third parties) all documents and materials [and any copies)</w:t>
      </w:r>
      <w:r w:rsidR="00DD52EB">
        <w:t xml:space="preserve"> </w:t>
      </w:r>
      <w:r>
        <w:t>containing, reflecting, incorporating or based on any Confidential Information; and</w:t>
      </w:r>
      <w:bookmarkEnd w:id="65"/>
      <w:r w:rsidR="005C31B1">
        <w:t xml:space="preserve"> </w:t>
      </w:r>
    </w:p>
    <w:p w14:paraId="610A09A7" w14:textId="1DF7F141" w:rsidR="00866F0D" w:rsidRDefault="00000000">
      <w:pPr>
        <w:pStyle w:val="Untitledsubclause2"/>
      </w:pPr>
      <w:bookmarkStart w:id="66" w:name="a370301"/>
      <w:r>
        <w:t xml:space="preserve">certify in writing to </w:t>
      </w:r>
      <w:r w:rsidR="00596661">
        <w:t>Analyst AI</w:t>
      </w:r>
      <w:r>
        <w:t xml:space="preserve"> that it has complied with the requirements of this </w:t>
      </w:r>
      <w:r>
        <w:fldChar w:fldCharType="begin"/>
      </w:r>
      <w:r>
        <w:instrText>PAGEREF a551108\# "'clause '"  \h</w:instrText>
      </w:r>
      <w:r>
        <w:fldChar w:fldCharType="separate"/>
      </w:r>
      <w:r>
        <w:t xml:space="preserve">clause </w:t>
      </w:r>
      <w:r>
        <w:fldChar w:fldCharType="end"/>
      </w:r>
      <w:r>
        <w:fldChar w:fldCharType="begin"/>
      </w:r>
      <w:r>
        <w:rPr>
          <w:highlight w:val="lightGray"/>
        </w:rPr>
        <w:instrText>REF a551108 \h \w</w:instrText>
      </w:r>
      <w:r>
        <w:fldChar w:fldCharType="separate"/>
      </w:r>
      <w:r>
        <w:t>6.1</w:t>
      </w:r>
      <w:r>
        <w:fldChar w:fldCharType="end"/>
      </w:r>
      <w:r>
        <w:t>.</w:t>
      </w:r>
      <w:bookmarkEnd w:id="66"/>
    </w:p>
    <w:p w14:paraId="5921455A" w14:textId="0A4F4EAA" w:rsidR="00866F0D" w:rsidRDefault="00000000">
      <w:pPr>
        <w:pStyle w:val="Untitledsubclause1"/>
      </w:pPr>
      <w:bookmarkStart w:id="67" w:name="a158830"/>
      <w:r>
        <w:lastRenderedPageBreak/>
        <w:t xml:space="preserve">Nothing in </w:t>
      </w:r>
      <w:r>
        <w:fldChar w:fldCharType="begin"/>
      </w:r>
      <w:r>
        <w:instrText>PAGEREF a551108\# "'clause '"  \h</w:instrText>
      </w:r>
      <w:r>
        <w:fldChar w:fldCharType="separate"/>
      </w:r>
      <w:r>
        <w:t xml:space="preserve">clause </w:t>
      </w:r>
      <w:r>
        <w:fldChar w:fldCharType="end"/>
      </w:r>
      <w:r>
        <w:fldChar w:fldCharType="begin"/>
      </w:r>
      <w:r>
        <w:rPr>
          <w:highlight w:val="lightGray"/>
        </w:rPr>
        <w:instrText>REF a551108 \h \w</w:instrText>
      </w:r>
      <w:r>
        <w:fldChar w:fldCharType="separate"/>
      </w:r>
      <w:r>
        <w:t>6.1</w:t>
      </w:r>
      <w:r>
        <w:fldChar w:fldCharType="end"/>
      </w:r>
      <w:r>
        <w:t xml:space="preserve"> shall require </w:t>
      </w:r>
      <w:r w:rsidR="00596661">
        <w:t>Bristol Capital</w:t>
      </w:r>
      <w:r>
        <w:t xml:space="preserve"> to return or destroy any documents and materials containing or based on the Confidential Information that </w:t>
      </w:r>
      <w:r w:rsidR="00596661">
        <w:t>Bristol Capital</w:t>
      </w:r>
      <w:r>
        <w:t xml:space="preserve"> is required to retain by applicable law, or to satisfy the requirements of a regulatory authority or body of competent jurisdiction or the rules of any listing authority or stock exchange, to which it is subject. The provisions of this agreement shall continue to apply to any documents and materials retained by </w:t>
      </w:r>
      <w:r w:rsidR="00596661">
        <w:t>Bristol Capital</w:t>
      </w:r>
      <w:r>
        <w:t xml:space="preserve"> pursuant to this </w:t>
      </w:r>
      <w:r>
        <w:fldChar w:fldCharType="begin"/>
      </w:r>
      <w:r>
        <w:instrText>PAGEREF a158830\# "'clause '"  \h</w:instrText>
      </w:r>
      <w:r>
        <w:fldChar w:fldCharType="separate"/>
      </w:r>
      <w:r>
        <w:t xml:space="preserve">clause </w:t>
      </w:r>
      <w:r>
        <w:fldChar w:fldCharType="end"/>
      </w:r>
      <w:r>
        <w:fldChar w:fldCharType="begin"/>
      </w:r>
      <w:r>
        <w:rPr>
          <w:highlight w:val="lightGray"/>
        </w:rPr>
        <w:instrText>REF a158830 \h \w</w:instrText>
      </w:r>
      <w:r>
        <w:fldChar w:fldCharType="separate"/>
      </w:r>
      <w:r>
        <w:t>6.2</w:t>
      </w:r>
      <w:r>
        <w:fldChar w:fldCharType="end"/>
      </w:r>
      <w:r>
        <w:t>.</w:t>
      </w:r>
      <w:bookmarkEnd w:id="67"/>
      <w:r w:rsidR="005C31B1">
        <w:t xml:space="preserve"> </w:t>
      </w:r>
    </w:p>
    <w:p w14:paraId="6C6E66EF" w14:textId="499CBC07" w:rsidR="00866F0D" w:rsidRDefault="00000000">
      <w:pPr>
        <w:pStyle w:val="TitleClause"/>
      </w:pPr>
      <w:r>
        <w:fldChar w:fldCharType="begin"/>
      </w:r>
      <w:r>
        <w:instrText>TC "7. Reservation of rights and acknowledgement" \l 1</w:instrText>
      </w:r>
      <w:r>
        <w:fldChar w:fldCharType="end"/>
      </w:r>
      <w:bookmarkStart w:id="68" w:name="_Toc256000006"/>
      <w:bookmarkStart w:id="69" w:name="a173962"/>
      <w:r>
        <w:t>Reservation of rights and acknowledgement</w:t>
      </w:r>
      <w:bookmarkEnd w:id="68"/>
      <w:bookmarkEnd w:id="69"/>
      <w:r w:rsidR="005C31B1">
        <w:t xml:space="preserve"> </w:t>
      </w:r>
    </w:p>
    <w:p w14:paraId="626FC579" w14:textId="57D204D3" w:rsidR="00866F0D" w:rsidRDefault="00596661">
      <w:pPr>
        <w:pStyle w:val="Untitledsubclause1"/>
      </w:pPr>
      <w:bookmarkStart w:id="70" w:name="a681962"/>
      <w:r>
        <w:t xml:space="preserve">Analyst AI reserves all rights in its Confidential Information. The disclosure of Confidential Information by Analyst AI to Bristol Capital does not give Bristol Capital or any other person any licence or other right in respect of any Confidential Information beyond the rights expressly set out in this agreement. </w:t>
      </w:r>
      <w:bookmarkEnd w:id="70"/>
    </w:p>
    <w:p w14:paraId="74F7AD50" w14:textId="700F2438" w:rsidR="00866F0D" w:rsidRDefault="00000000">
      <w:pPr>
        <w:pStyle w:val="Untitledsubclause1"/>
      </w:pPr>
      <w:bookmarkStart w:id="71" w:name="a587230"/>
      <w:r>
        <w:t xml:space="preserve">Except as expressly stated in this agreement, </w:t>
      </w:r>
      <w:r w:rsidR="00596661">
        <w:t>Analyst AI</w:t>
      </w:r>
      <w:r>
        <w:t xml:space="preserve"> makes no express or implied warranty or representation concerning its Confidential Information, including but not limited to the accuracy or completeness of the Confidential Information.</w:t>
      </w:r>
      <w:bookmarkEnd w:id="71"/>
      <w:r w:rsidR="005C31B1">
        <w:t xml:space="preserve"> </w:t>
      </w:r>
    </w:p>
    <w:p w14:paraId="5CC0C7A7" w14:textId="5643B911" w:rsidR="00866F0D" w:rsidRDefault="00000000">
      <w:pPr>
        <w:pStyle w:val="Untitledsubclause1"/>
      </w:pPr>
      <w:bookmarkStart w:id="72" w:name="a814942"/>
      <w:r>
        <w:t xml:space="preserve">The disclosure of Confidential Information by </w:t>
      </w:r>
      <w:r w:rsidR="00596661">
        <w:t>Analyst AI</w:t>
      </w:r>
      <w:r>
        <w:t xml:space="preserve"> shall not form any offer by, or representation or warranty on the part of, </w:t>
      </w:r>
      <w:r w:rsidR="00596661">
        <w:t>Analyst AI</w:t>
      </w:r>
      <w:r>
        <w:t xml:space="preserve"> to enter into any further agreement with </w:t>
      </w:r>
      <w:r w:rsidR="00596661">
        <w:t>Bristol Capital</w:t>
      </w:r>
      <w:r>
        <w:t xml:space="preserve"> [in relation to the Purpose or the development or supply of any products or services to which the Confidential Information relates to].</w:t>
      </w:r>
      <w:bookmarkEnd w:id="72"/>
      <w:r w:rsidR="005C31B1">
        <w:t xml:space="preserve"> </w:t>
      </w:r>
    </w:p>
    <w:p w14:paraId="6AB83997" w14:textId="4DACF0AD" w:rsidR="00866F0D" w:rsidRDefault="00000000">
      <w:pPr>
        <w:pStyle w:val="TitleClause"/>
      </w:pPr>
      <w:r>
        <w:fldChar w:fldCharType="begin"/>
      </w:r>
      <w:r>
        <w:instrText>TC "8. Indemnity" \l 1</w:instrText>
      </w:r>
      <w:r>
        <w:fldChar w:fldCharType="end"/>
      </w:r>
      <w:bookmarkStart w:id="73" w:name="_Toc256000007"/>
      <w:bookmarkStart w:id="74" w:name="a370216"/>
      <w:r>
        <w:t>Indemnity</w:t>
      </w:r>
      <w:bookmarkEnd w:id="73"/>
      <w:bookmarkEnd w:id="74"/>
      <w:r w:rsidR="005C31B1">
        <w:t xml:space="preserve"> </w:t>
      </w:r>
    </w:p>
    <w:p w14:paraId="14417364" w14:textId="7E3305F3" w:rsidR="00866F0D" w:rsidRDefault="00596661" w:rsidP="00B75493">
      <w:pPr>
        <w:pStyle w:val="Untitledsubclause1"/>
      </w:pPr>
      <w:bookmarkStart w:id="75" w:name="a605151"/>
      <w:r>
        <w:t>Bristol Capital shall indemnify Analyst AI and each member of its Group (each an Indemnified Person)</w:t>
      </w:r>
      <w:r w:rsidR="00DD52EB">
        <w:t xml:space="preserve"> </w:t>
      </w:r>
      <w:r>
        <w:t>against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 suffered or incurred by each Indemnified Person arising out of or in connection with any breach of this agreement by Bristol Capital</w:t>
      </w:r>
      <w:bookmarkEnd w:id="75"/>
      <w:commentRangeStart w:id="76"/>
      <w:commentRangeEnd w:id="76"/>
      <w:r w:rsidR="00255308">
        <w:rPr>
          <w:rStyle w:val="CommentReference"/>
          <w:sz w:val="24"/>
          <w:szCs w:val="20"/>
        </w:rPr>
        <w:commentReference w:id="76"/>
      </w:r>
      <w:r w:rsidR="00B75493">
        <w:t>.</w:t>
      </w:r>
      <w:r w:rsidR="005C31B1">
        <w:t xml:space="preserve"> </w:t>
      </w:r>
    </w:p>
    <w:p w14:paraId="2DF48B43" w14:textId="77777777" w:rsidR="00866F0D" w:rsidRDefault="00000000">
      <w:pPr>
        <w:pStyle w:val="TitleClause"/>
      </w:pPr>
      <w:r>
        <w:fldChar w:fldCharType="begin"/>
      </w:r>
      <w:r>
        <w:instrText>TC "9. Inadequacy of damages" \l 1</w:instrText>
      </w:r>
      <w:r>
        <w:fldChar w:fldCharType="end"/>
      </w:r>
      <w:bookmarkStart w:id="77" w:name="_Toc256000008"/>
      <w:bookmarkStart w:id="78" w:name="a598979"/>
      <w:r>
        <w:t>Inadequacy of damages</w:t>
      </w:r>
      <w:bookmarkEnd w:id="77"/>
      <w:r>
        <w:t xml:space="preserve"> </w:t>
      </w:r>
      <w:bookmarkEnd w:id="78"/>
    </w:p>
    <w:p w14:paraId="198F4B34" w14:textId="1D90BDA3" w:rsidR="00866F0D" w:rsidRDefault="00000000">
      <w:pPr>
        <w:pStyle w:val="NoNumUntitledsubclause1"/>
        <w:ind w:left="0"/>
      </w:pPr>
      <w:bookmarkStart w:id="79" w:name="a138570"/>
      <w:r>
        <w:t xml:space="preserve">Without prejudice to any other rights or remedies that </w:t>
      </w:r>
      <w:r w:rsidR="00596661">
        <w:t>Analyst AI</w:t>
      </w:r>
      <w:r>
        <w:t xml:space="preserve"> may have, </w:t>
      </w:r>
      <w:r w:rsidR="00596661">
        <w:t>Bristol Capital</w:t>
      </w:r>
      <w:r>
        <w:t xml:space="preserve"> acknowledges and agrees that damages alone would not be an adequate remedy for any breach of the terms of this agreement. Accordingly, </w:t>
      </w:r>
      <w:r w:rsidR="00596661">
        <w:t>Analyst AI</w:t>
      </w:r>
      <w:r>
        <w:t xml:space="preserve"> shall be entitled to the remedies of injunctions, specific performance or other equitable relief for any threatened or actual breach of this agreement by </w:t>
      </w:r>
      <w:r w:rsidR="00596661">
        <w:t>Bristol Capital</w:t>
      </w:r>
      <w:r>
        <w:t>.</w:t>
      </w:r>
      <w:bookmarkEnd w:id="79"/>
    </w:p>
    <w:p w14:paraId="2944D6C5" w14:textId="77777777" w:rsidR="00866F0D" w:rsidRDefault="00000000">
      <w:pPr>
        <w:pStyle w:val="TitleClause"/>
      </w:pPr>
      <w:r>
        <w:lastRenderedPageBreak/>
        <w:fldChar w:fldCharType="begin"/>
      </w:r>
      <w:r>
        <w:instrText>TC "10. No obligation to continue discussions" \l 1</w:instrText>
      </w:r>
      <w:r>
        <w:fldChar w:fldCharType="end"/>
      </w:r>
      <w:bookmarkStart w:id="80" w:name="_Toc256000009"/>
      <w:bookmarkStart w:id="81" w:name="a738093"/>
      <w:r>
        <w:t>No obligation to continue discussions</w:t>
      </w:r>
      <w:bookmarkEnd w:id="80"/>
      <w:r>
        <w:t xml:space="preserve"> </w:t>
      </w:r>
      <w:bookmarkEnd w:id="81"/>
    </w:p>
    <w:p w14:paraId="50F004FA" w14:textId="34C6290D" w:rsidR="00866F0D" w:rsidRDefault="00000000">
      <w:pPr>
        <w:pStyle w:val="NoNumUntitledsubclause1"/>
        <w:ind w:left="0"/>
      </w:pPr>
      <w:bookmarkStart w:id="82" w:name="a179028"/>
      <w:r>
        <w:t xml:space="preserve">Nothing in this agreement shall impose an obligation on </w:t>
      </w:r>
      <w:r w:rsidR="00596661">
        <w:t>Analyst AI</w:t>
      </w:r>
      <w:r>
        <w:t xml:space="preserve"> to continue discussions or negotiations in connection with the Purpose, or an obligation on </w:t>
      </w:r>
      <w:r w:rsidR="00596661">
        <w:t>Analyst AI</w:t>
      </w:r>
      <w:r>
        <w:t>, or any of its Group Companies,</w:t>
      </w:r>
      <w:r w:rsidR="00B75493">
        <w:t xml:space="preserve"> </w:t>
      </w:r>
      <w:r>
        <w:t xml:space="preserve">to disclose any information (whether Confidential Information or otherwise) to </w:t>
      </w:r>
      <w:r w:rsidR="00596661">
        <w:t>Bristol Capital</w:t>
      </w:r>
      <w:r>
        <w:t>.</w:t>
      </w:r>
      <w:bookmarkEnd w:id="82"/>
    </w:p>
    <w:p w14:paraId="3E2C981C" w14:textId="630A3CBA" w:rsidR="00866F0D" w:rsidRDefault="00000000">
      <w:pPr>
        <w:pStyle w:val="TitleClause"/>
      </w:pPr>
      <w:r>
        <w:fldChar w:fldCharType="begin"/>
      </w:r>
      <w:r>
        <w:instrText>TC "13. General" \l 1</w:instrText>
      </w:r>
      <w:r>
        <w:fldChar w:fldCharType="end"/>
      </w:r>
      <w:bookmarkStart w:id="83" w:name="_Toc256000012"/>
      <w:bookmarkStart w:id="84" w:name="a978494"/>
      <w:r>
        <w:t>General</w:t>
      </w:r>
      <w:bookmarkEnd w:id="83"/>
      <w:r w:rsidR="005C31B1">
        <w:t xml:space="preserve"> </w:t>
      </w:r>
      <w:r>
        <w:t xml:space="preserve"> </w:t>
      </w:r>
      <w:bookmarkEnd w:id="84"/>
    </w:p>
    <w:p w14:paraId="4FD44FD9" w14:textId="30CA8FD1" w:rsidR="00866F0D" w:rsidRDefault="00000000">
      <w:pPr>
        <w:pStyle w:val="Untitledsubclause1"/>
        <w:rPr>
          <w:b/>
        </w:rPr>
      </w:pPr>
      <w:bookmarkStart w:id="85" w:name="a172477"/>
      <w:r>
        <w:rPr>
          <w:b/>
        </w:rPr>
        <w:t>Assignment and other dealings.</w:t>
      </w:r>
      <w:r>
        <w:t xml:space="preserve"> Neither party shall assign, transfer, mortgage, charge, subcontract, declare a trust over or deal in any other manner with any of its rights and obligations under this </w:t>
      </w:r>
      <w:commentRangeStart w:id="86"/>
      <w:r>
        <w:t>agreement</w:t>
      </w:r>
      <w:commentRangeEnd w:id="86"/>
      <w:r w:rsidR="00255308">
        <w:rPr>
          <w:rStyle w:val="CommentReference"/>
          <w:sz w:val="24"/>
          <w:szCs w:val="20"/>
        </w:rPr>
        <w:commentReference w:id="86"/>
      </w:r>
      <w:r>
        <w:t>.</w:t>
      </w:r>
      <w:bookmarkEnd w:id="85"/>
      <w:r w:rsidR="005C31B1">
        <w:t xml:space="preserve"> </w:t>
      </w:r>
    </w:p>
    <w:p w14:paraId="1F082455" w14:textId="77777777" w:rsidR="00866F0D" w:rsidRDefault="00000000">
      <w:pPr>
        <w:pStyle w:val="Untitledsubclause1"/>
        <w:rPr>
          <w:b/>
        </w:rPr>
      </w:pPr>
      <w:bookmarkStart w:id="87" w:name="a629017"/>
      <w:r>
        <w:rPr>
          <w:b/>
        </w:rPr>
        <w:t>Entire agreement.</w:t>
      </w:r>
      <w:bookmarkEnd w:id="87"/>
    </w:p>
    <w:p w14:paraId="166684F5" w14:textId="77777777" w:rsidR="00866F0D" w:rsidRDefault="00000000" w:rsidP="00B75493">
      <w:pPr>
        <w:pStyle w:val="Untitledsubclause2"/>
        <w:numPr>
          <w:ilvl w:val="0"/>
          <w:numId w:val="0"/>
        </w:numPr>
      </w:pPr>
      <w:bookmarkStart w:id="88" w:name="a928248"/>
      <w:r>
        <w:t>This agreement constitutes the entire agreement between the parties.</w:t>
      </w:r>
      <w:bookmarkEnd w:id="88"/>
    </w:p>
    <w:p w14:paraId="1521F674" w14:textId="77777777" w:rsidR="00866F0D" w:rsidRDefault="00000000">
      <w:pPr>
        <w:pStyle w:val="Untitledsubclause1"/>
        <w:rPr>
          <w:b/>
        </w:rPr>
      </w:pPr>
      <w:bookmarkStart w:id="89" w:name="a296315"/>
      <w:r>
        <w:rPr>
          <w:b/>
        </w:rPr>
        <w:t>Variation.</w:t>
      </w:r>
      <w:r>
        <w:t xml:space="preserve"> No variation of this agreement shall be effective unless it is in writing and signed by the parties (or their authorised representatives). </w:t>
      </w:r>
      <w:bookmarkEnd w:id="89"/>
    </w:p>
    <w:p w14:paraId="52F86B13" w14:textId="77777777" w:rsidR="00866F0D" w:rsidRPr="0017396E" w:rsidRDefault="00000000">
      <w:pPr>
        <w:pStyle w:val="Untitledsubclause1"/>
        <w:rPr>
          <w:b/>
        </w:rPr>
      </w:pPr>
      <w:bookmarkStart w:id="90" w:name="a144689"/>
      <w:r>
        <w:rPr>
          <w:b/>
        </w:rPr>
        <w:t>Waiver.</w:t>
      </w:r>
      <w:r>
        <w:t xml:space="preserve"> </w:t>
      </w:r>
      <w:bookmarkEnd w:id="90"/>
    </w:p>
    <w:p w14:paraId="1F3094D1" w14:textId="77777777" w:rsidR="00866F0D" w:rsidRDefault="00000000">
      <w:pPr>
        <w:pStyle w:val="Untitledsubclause2"/>
      </w:pPr>
      <w:bookmarkStart w:id="91" w:name="a320554"/>
      <w:r>
        <w:t>A waiver of any right or remedy under this agreement or by law is only effective if given in writing and shall not be deemed a waiver of any subsequent right or remedy.</w:t>
      </w:r>
      <w:bookmarkEnd w:id="91"/>
    </w:p>
    <w:p w14:paraId="25C9D265" w14:textId="60A331C7" w:rsidR="00866F0D" w:rsidRPr="006D5ADE" w:rsidRDefault="00000000">
      <w:pPr>
        <w:pStyle w:val="Untitledsubclause2"/>
      </w:pPr>
      <w:bookmarkStart w:id="92" w:name="a429052"/>
      <w:r>
        <w:t xml:space="preserve"> A delay or failure to exercise, or the single or partial exercise of, any right or remedy does not waive that or any other right or remedy, nor does it prevent or restrict the further exercise of that or any other right or remedy.</w:t>
      </w:r>
      <w:bookmarkEnd w:id="92"/>
    </w:p>
    <w:p w14:paraId="4A993692" w14:textId="77777777" w:rsidR="00866F0D" w:rsidRPr="00DF68EA" w:rsidRDefault="00000000">
      <w:pPr>
        <w:pStyle w:val="Untitledsubclause1"/>
        <w:rPr>
          <w:b/>
        </w:rPr>
      </w:pPr>
      <w:bookmarkStart w:id="93" w:name="a658917"/>
      <w:r>
        <w:rPr>
          <w:b/>
        </w:rPr>
        <w:t>Severance</w:t>
      </w:r>
      <w:bookmarkEnd w:id="93"/>
    </w:p>
    <w:p w14:paraId="72CF5C9F" w14:textId="76BFF75C" w:rsidR="00866F0D" w:rsidRDefault="00000000">
      <w:pPr>
        <w:pStyle w:val="Untitledsubclause2"/>
      </w:pPr>
      <w:bookmarkStart w:id="94" w:name="a309909"/>
      <w:r>
        <w:t>If any provision or part-provision of this agreement is or becomes invalid, illegal or unenforceable, it shall be deemed deleted, but that shall not affect the validity and enforceability of the rest of this agreement.</w:t>
      </w:r>
      <w:bookmarkEnd w:id="94"/>
      <w:r w:rsidR="005C31B1">
        <w:t xml:space="preserve"> </w:t>
      </w:r>
    </w:p>
    <w:p w14:paraId="18213AF2" w14:textId="77777777" w:rsidR="00866F0D" w:rsidRDefault="00000000">
      <w:pPr>
        <w:pStyle w:val="Untitledsubclause2"/>
      </w:pPr>
      <w:bookmarkStart w:id="95" w:name="a501243"/>
      <w:r>
        <w:t xml:space="preserve">If any provision or part-provision of this agreement is deemed deleted under </w:t>
      </w:r>
      <w:r>
        <w:fldChar w:fldCharType="begin"/>
      </w:r>
      <w:r>
        <w:instrText>PAGEREF a309909\# "'clause '"  \h</w:instrText>
      </w:r>
      <w:r>
        <w:fldChar w:fldCharType="separate"/>
      </w:r>
      <w:r>
        <w:t xml:space="preserve">clause </w:t>
      </w:r>
      <w:r>
        <w:fldChar w:fldCharType="end"/>
      </w:r>
      <w:r>
        <w:fldChar w:fldCharType="begin"/>
      </w:r>
      <w:r>
        <w:rPr>
          <w:highlight w:val="lightGray"/>
        </w:rPr>
        <w:instrText>REF a309909 \h \w</w:instrText>
      </w:r>
      <w:r>
        <w:fldChar w:fldCharType="separate"/>
      </w:r>
      <w:r>
        <w:t>13.5(a)</w:t>
      </w:r>
      <w:r>
        <w:fldChar w:fldCharType="end"/>
      </w:r>
      <w:r>
        <w:t>, the parties shall negotiate in good faith to agree a replacement provision that, to the greatest extent possible, achieves the intended commercial result of the original provision.</w:t>
      </w:r>
      <w:bookmarkEnd w:id="95"/>
    </w:p>
    <w:p w14:paraId="4DDF2111" w14:textId="77777777" w:rsidR="00866F0D" w:rsidRDefault="00000000">
      <w:pPr>
        <w:pStyle w:val="Untitledsubclause1"/>
        <w:rPr>
          <w:b/>
        </w:rPr>
      </w:pPr>
      <w:bookmarkStart w:id="96" w:name="a682877"/>
      <w:r>
        <w:rPr>
          <w:b/>
        </w:rPr>
        <w:t>Notices</w:t>
      </w:r>
      <w:bookmarkEnd w:id="96"/>
    </w:p>
    <w:p w14:paraId="04046A23" w14:textId="77777777" w:rsidR="00866F0D" w:rsidRDefault="00000000">
      <w:pPr>
        <w:pStyle w:val="Untitledsubclause2"/>
      </w:pPr>
      <w:bookmarkStart w:id="97" w:name="a476133"/>
      <w:r>
        <w:t>Any notice given to a party under or in connection with this agreement shall be in writing and shall be:</w:t>
      </w:r>
      <w:bookmarkEnd w:id="97"/>
    </w:p>
    <w:p w14:paraId="386875D7" w14:textId="43AC57C3" w:rsidR="00866F0D" w:rsidRDefault="00000000">
      <w:pPr>
        <w:pStyle w:val="Untitledsubclause3"/>
      </w:pPr>
      <w:bookmarkStart w:id="98" w:name="a390035"/>
      <w:r>
        <w:lastRenderedPageBreak/>
        <w:t>delivered by hand or by pre-paid first-class post or other next working day delivery service at its registered office (if a company) or its principal place of business (in any other case)</w:t>
      </w:r>
      <w:r w:rsidR="00B75493">
        <w:t>;</w:t>
      </w:r>
      <w:r>
        <w:t xml:space="preserve"> or</w:t>
      </w:r>
      <w:bookmarkEnd w:id="98"/>
      <w:r w:rsidR="005C31B1">
        <w:t xml:space="preserve"> </w:t>
      </w:r>
    </w:p>
    <w:p w14:paraId="1A7D8AA1" w14:textId="76A1E540" w:rsidR="00866F0D" w:rsidRDefault="00000000">
      <w:pPr>
        <w:pStyle w:val="Untitledsubclause3"/>
      </w:pPr>
      <w:bookmarkStart w:id="99" w:name="a707229"/>
      <w:r>
        <w:t>sent by email to the following addresses (or an address substituted in writing by the party to be served):</w:t>
      </w:r>
      <w:r>
        <w:fldChar w:fldCharType="begin"/>
      </w:r>
      <w:r>
        <w:fldChar w:fldCharType="end"/>
      </w:r>
      <w:bookmarkEnd w:id="99"/>
    </w:p>
    <w:p w14:paraId="5D3C0DF1" w14:textId="00402DAD" w:rsidR="00866F0D" w:rsidRDefault="00596661">
      <w:pPr>
        <w:pStyle w:val="Untitledsubclause3"/>
        <w:numPr>
          <w:ilvl w:val="0"/>
          <w:numId w:val="0"/>
        </w:numPr>
        <w:ind w:left="2275"/>
      </w:pPr>
      <w:bookmarkStart w:id="100" w:name="a694594"/>
      <w:r>
        <w:t>Analyst AI: [ADDRESS].</w:t>
      </w:r>
      <w:r>
        <w:fldChar w:fldCharType="begin"/>
      </w:r>
      <w:r>
        <w:instrText>MACROBUTTON optional</w:instrText>
      </w:r>
      <w:r>
        <w:fldChar w:fldCharType="end"/>
      </w:r>
      <w:bookmarkEnd w:id="100"/>
    </w:p>
    <w:p w14:paraId="63EFAD04" w14:textId="03A34C8C" w:rsidR="00866F0D" w:rsidRDefault="00596661">
      <w:pPr>
        <w:pStyle w:val="Parasubclause3"/>
      </w:pPr>
      <w:r>
        <w:t>Bristol Capital: [</w:t>
      </w:r>
      <w:commentRangeStart w:id="101"/>
      <w:r>
        <w:t>ADDRESS</w:t>
      </w:r>
      <w:commentRangeEnd w:id="101"/>
      <w:r w:rsidR="00255308">
        <w:rPr>
          <w:rStyle w:val="CommentReference"/>
          <w:sz w:val="24"/>
          <w:szCs w:val="20"/>
        </w:rPr>
        <w:commentReference w:id="101"/>
      </w:r>
      <w:r>
        <w:t>].</w:t>
      </w:r>
    </w:p>
    <w:p w14:paraId="75CCCEA9" w14:textId="03802A12" w:rsidR="00866F0D" w:rsidRDefault="00000000">
      <w:pPr>
        <w:pStyle w:val="Untitledsubclause2"/>
      </w:pPr>
      <w:bookmarkStart w:id="102" w:name="a327970"/>
      <w:r>
        <w:t>This clause does not apply to the service of any proceedings or other documents in any legal action or, where applicable, any arbitration or other method of dispute resolution.</w:t>
      </w:r>
      <w:bookmarkEnd w:id="102"/>
    </w:p>
    <w:p w14:paraId="4D2124F3" w14:textId="77777777" w:rsidR="00866F0D" w:rsidRPr="007A6B16" w:rsidRDefault="00000000">
      <w:pPr>
        <w:pStyle w:val="Untitledsubclause1"/>
        <w:rPr>
          <w:b/>
        </w:rPr>
      </w:pPr>
      <w:bookmarkStart w:id="103" w:name="a978247"/>
      <w:r>
        <w:rPr>
          <w:b/>
        </w:rPr>
        <w:t>Third party rights.</w:t>
      </w:r>
      <w:r>
        <w:t xml:space="preserve"> </w:t>
      </w:r>
      <w:bookmarkEnd w:id="103"/>
    </w:p>
    <w:p w14:paraId="0B936C5A" w14:textId="68D4F3B9" w:rsidR="00866F0D" w:rsidRDefault="00000000" w:rsidP="00B75493">
      <w:pPr>
        <w:pStyle w:val="Untitledsubclause2"/>
        <w:numPr>
          <w:ilvl w:val="0"/>
          <w:numId w:val="0"/>
        </w:numPr>
        <w:ind w:left="994"/>
      </w:pPr>
      <w:bookmarkStart w:id="104" w:name="a417571"/>
      <w:r>
        <w:t xml:space="preserve">Unless it expressly states otherwise, this agreement does not give rise to any rights under the Contracts (Rights of Third Parties) Act 1999 to enforce any term of this </w:t>
      </w:r>
      <w:commentRangeStart w:id="105"/>
      <w:r>
        <w:t>agreement</w:t>
      </w:r>
      <w:commentRangeEnd w:id="105"/>
      <w:r w:rsidR="00255308">
        <w:rPr>
          <w:rStyle w:val="CommentReference"/>
          <w:sz w:val="24"/>
          <w:szCs w:val="20"/>
        </w:rPr>
        <w:commentReference w:id="105"/>
      </w:r>
      <w:r>
        <w:t>.</w:t>
      </w:r>
      <w:bookmarkEnd w:id="104"/>
    </w:p>
    <w:p w14:paraId="573890E8" w14:textId="4FFE7E6A" w:rsidR="00866F0D" w:rsidRDefault="00000000">
      <w:pPr>
        <w:pStyle w:val="Untitledsubclause1"/>
        <w:rPr>
          <w:b/>
        </w:rPr>
      </w:pPr>
      <w:bookmarkStart w:id="106" w:name="a677455"/>
      <w:r>
        <w:rPr>
          <w:b/>
        </w:rPr>
        <w:t>Governing law.</w:t>
      </w:r>
      <w:r>
        <w:t xml:space="preserve"> This agreement and any dispute or claim (including non-contractual disputes or claims) arising out of or in connection with it or its subject matter or formation shall be governed by and construed in accordance with the law of England and Wales.</w:t>
      </w:r>
      <w:bookmarkEnd w:id="106"/>
      <w:r w:rsidR="005C31B1">
        <w:t xml:space="preserve"> </w:t>
      </w:r>
    </w:p>
    <w:p w14:paraId="301BFAEF" w14:textId="1707B0D4" w:rsidR="00866F0D" w:rsidRDefault="00000000">
      <w:pPr>
        <w:pStyle w:val="Untitledsubclause1"/>
        <w:rPr>
          <w:b/>
        </w:rPr>
      </w:pPr>
      <w:bookmarkStart w:id="107" w:name="a328499"/>
      <w:r>
        <w:rPr>
          <w:b/>
        </w:rPr>
        <w:t>Jurisdiction.</w:t>
      </w:r>
      <w:r>
        <w:t xml:space="preserve"> Each party irrevocably agrees that the courts of England and Wales shall have exclusive jurisdiction to settle any dispute or claim (including non-contractual disputes or claims) arising out of or in connection with this agreement or its subject matter or formation.</w:t>
      </w:r>
      <w:bookmarkEnd w:id="107"/>
    </w:p>
    <w:p w14:paraId="3C7676D2" w14:textId="77777777" w:rsidR="00866F0D" w:rsidRDefault="00000000">
      <w:pPr>
        <w:pStyle w:val="Testimonium"/>
      </w:pPr>
      <w:r>
        <w:t>This agreement has been entered into on the date stated at the beginning of it.</w:t>
      </w:r>
    </w:p>
    <w:p w14:paraId="27B92185" w14:textId="77777777" w:rsidR="00010BAD" w:rsidRDefault="00000000">
      <w:r>
        <w:br w:type="page"/>
      </w: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010BAD" w14:paraId="14AEC8CD" w14:textId="77777777">
        <w:tc>
          <w:tcPr>
            <w:tcW w:w="1667" w:type="pct"/>
            <w:tcBorders>
              <w:top w:val="nil"/>
              <w:left w:val="nil"/>
              <w:bottom w:val="nil"/>
              <w:right w:val="nil"/>
            </w:tcBorders>
            <w:shd w:val="clear" w:color="DDD9C3" w:fill="EEECE1"/>
          </w:tcPr>
          <w:p w14:paraId="0447ACE2" w14:textId="3B080FD0" w:rsidR="00866F0D" w:rsidRDefault="00000000">
            <w:pPr>
              <w:pStyle w:val="Paragraph"/>
              <w:jc w:val="left"/>
            </w:pPr>
            <w:r>
              <w:lastRenderedPageBreak/>
              <w:t xml:space="preserve">Signed by [NAME OF DIRECTOR] for and on behalf of [NAME OF </w:t>
            </w:r>
            <w:r w:rsidR="00596661">
              <w:t>ANALYST AI</w:t>
            </w:r>
            <w:r>
              <w:t>]</w:t>
            </w:r>
          </w:p>
        </w:tc>
        <w:tc>
          <w:tcPr>
            <w:tcW w:w="1667" w:type="pct"/>
            <w:tcBorders>
              <w:top w:val="nil"/>
              <w:left w:val="nil"/>
              <w:bottom w:val="nil"/>
              <w:right w:val="nil"/>
            </w:tcBorders>
            <w:shd w:val="clear" w:color="DDD9C3" w:fill="EEECE1"/>
          </w:tcPr>
          <w:p w14:paraId="4CC00B1B" w14:textId="77777777" w:rsidR="00010BAD" w:rsidRDefault="00010BAD"/>
        </w:tc>
        <w:tc>
          <w:tcPr>
            <w:tcW w:w="1666" w:type="pct"/>
            <w:tcBorders>
              <w:top w:val="nil"/>
              <w:left w:val="nil"/>
              <w:bottom w:val="nil"/>
              <w:right w:val="nil"/>
            </w:tcBorders>
            <w:shd w:val="clear" w:color="DDD9C3" w:fill="EEECE1"/>
          </w:tcPr>
          <w:p w14:paraId="7E76DCB4" w14:textId="77777777" w:rsidR="00866F0D" w:rsidRDefault="00000000">
            <w:pPr>
              <w:pStyle w:val="Paragraph"/>
              <w:jc w:val="left"/>
            </w:pPr>
            <w:r>
              <w:t>....................</w:t>
            </w:r>
          </w:p>
          <w:p w14:paraId="30FDD3B0" w14:textId="77777777" w:rsidR="00866F0D" w:rsidRDefault="00000000">
            <w:pPr>
              <w:pStyle w:val="Paragraph"/>
              <w:jc w:val="left"/>
            </w:pPr>
            <w:r>
              <w:t>Director</w:t>
            </w:r>
          </w:p>
        </w:tc>
      </w:tr>
      <w:tr w:rsidR="00010BAD" w14:paraId="3EC28F2D" w14:textId="77777777">
        <w:tc>
          <w:tcPr>
            <w:tcW w:w="1667" w:type="pct"/>
            <w:tcBorders>
              <w:top w:val="nil"/>
              <w:left w:val="nil"/>
              <w:bottom w:val="nil"/>
              <w:right w:val="nil"/>
            </w:tcBorders>
            <w:shd w:val="clear" w:color="DDD9C3" w:fill="EEECE1"/>
          </w:tcPr>
          <w:p w14:paraId="105A2D5A" w14:textId="131B06D3" w:rsidR="00866F0D" w:rsidRDefault="00000000">
            <w:pPr>
              <w:pStyle w:val="Paragraph"/>
              <w:jc w:val="left"/>
            </w:pPr>
            <w:r>
              <w:t xml:space="preserve">Signed by [NAME OF DIRECTOR] for and on behalf of [NAME OF </w:t>
            </w:r>
            <w:r w:rsidR="00596661">
              <w:t>BRISTOL CAPITAL</w:t>
            </w:r>
            <w:r>
              <w:t>]</w:t>
            </w:r>
          </w:p>
        </w:tc>
        <w:tc>
          <w:tcPr>
            <w:tcW w:w="1667" w:type="pct"/>
            <w:tcBorders>
              <w:top w:val="nil"/>
              <w:left w:val="nil"/>
              <w:bottom w:val="nil"/>
              <w:right w:val="nil"/>
            </w:tcBorders>
            <w:shd w:val="clear" w:color="DDD9C3" w:fill="EEECE1"/>
          </w:tcPr>
          <w:p w14:paraId="6E8A971B" w14:textId="77777777" w:rsidR="00010BAD" w:rsidRDefault="00010BAD"/>
        </w:tc>
        <w:tc>
          <w:tcPr>
            <w:tcW w:w="1666" w:type="pct"/>
            <w:tcBorders>
              <w:top w:val="nil"/>
              <w:left w:val="nil"/>
              <w:bottom w:val="nil"/>
              <w:right w:val="nil"/>
            </w:tcBorders>
            <w:shd w:val="clear" w:color="DDD9C3" w:fill="EEECE1"/>
          </w:tcPr>
          <w:p w14:paraId="55D3D69A" w14:textId="77777777" w:rsidR="00866F0D" w:rsidRDefault="00000000">
            <w:pPr>
              <w:pStyle w:val="Paragraph"/>
              <w:jc w:val="left"/>
            </w:pPr>
            <w:r>
              <w:t>....................</w:t>
            </w:r>
          </w:p>
          <w:p w14:paraId="3ADCAC16" w14:textId="77777777" w:rsidR="00866F0D" w:rsidRDefault="00000000">
            <w:pPr>
              <w:pStyle w:val="Paragraph"/>
              <w:jc w:val="left"/>
            </w:pPr>
            <w:r>
              <w:t>Director</w:t>
            </w:r>
          </w:p>
        </w:tc>
      </w:tr>
    </w:tbl>
    <w:p w14:paraId="48FB7A41" w14:textId="77777777" w:rsidR="00010BAD" w:rsidRDefault="00010BAD"/>
    <w:sectPr w:rsidR="00010BA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Bristol Capital" w:date="2025-05-10T19:29:00Z" w:initials="BC">
    <w:p w14:paraId="43789C45" w14:textId="77777777" w:rsidR="00D50477" w:rsidRDefault="00D50477" w:rsidP="00D50477">
      <w:r>
        <w:rPr>
          <w:rStyle w:val="CommentReference"/>
        </w:rPr>
        <w:annotationRef/>
      </w:r>
      <w:r>
        <w:rPr>
          <w:color w:val="000000"/>
          <w:sz w:val="20"/>
          <w:szCs w:val="20"/>
        </w:rPr>
        <w:t>Bristol Capital must be able to disclose information with any funds managed or advised, or any accounts managed, by any member of our Group.</w:t>
      </w:r>
    </w:p>
  </w:comment>
  <w:comment w:id="13" w:author="Bristol Capital" w:date="2025-05-10T19:34:00Z" w:initials="BC">
    <w:p w14:paraId="69133D03" w14:textId="77777777" w:rsidR="00D50477" w:rsidRDefault="00D50477" w:rsidP="00D50477">
      <w:r>
        <w:rPr>
          <w:rStyle w:val="CommentReference"/>
        </w:rPr>
        <w:annotationRef/>
      </w:r>
      <w:r>
        <w:rPr>
          <w:color w:val="000000"/>
          <w:sz w:val="20"/>
          <w:szCs w:val="20"/>
        </w:rPr>
        <w:t xml:space="preserve">Bristol Capital’s partners, members, contingent workers and agents must be added to this definition, so they can be permitted to access information linked to this transaction. </w:t>
      </w:r>
    </w:p>
  </w:comment>
  <w:comment w:id="27" w:author="Bristol Capital" w:date="2025-05-10T19:37:00Z" w:initials="BC">
    <w:p w14:paraId="101E428C" w14:textId="77777777" w:rsidR="003A449A" w:rsidRDefault="003A449A" w:rsidP="003A449A">
      <w:r>
        <w:rPr>
          <w:rStyle w:val="CommentReference"/>
        </w:rPr>
        <w:annotationRef/>
      </w:r>
      <w:r>
        <w:rPr>
          <w:color w:val="000000"/>
          <w:sz w:val="20"/>
          <w:szCs w:val="20"/>
        </w:rPr>
        <w:t xml:space="preserve">Analyst Al has not disclosed any information to date. Please ensure that this definition only includes information disclosed on or after the date of this agreement. </w:t>
      </w:r>
    </w:p>
  </w:comment>
  <w:comment w:id="37" w:author="Bristol Capital" w:date="2025-05-10T20:11:00Z" w:initials="BC">
    <w:p w14:paraId="7969A314" w14:textId="77777777" w:rsidR="00B76AF7" w:rsidRDefault="00B76AF7" w:rsidP="00B76AF7">
      <w:r>
        <w:rPr>
          <w:rStyle w:val="CommentReference"/>
        </w:rPr>
        <w:annotationRef/>
      </w:r>
      <w:r>
        <w:rPr>
          <w:color w:val="000000"/>
          <w:sz w:val="20"/>
          <w:szCs w:val="20"/>
        </w:rPr>
        <w:t xml:space="preserve">Analyst AI must provide reciprocal confidentiality undertakings to Bristol Capital, including that it will keep the following confidential (a) that Bristol Capital is contemplating this project, (b) the existence of this agreement, and (c) any other sensitive information that Bristol Capital discloses you. </w:t>
      </w:r>
    </w:p>
  </w:comment>
  <w:comment w:id="42" w:author="Bristol Capital" w:date="2025-05-10T19:45:00Z" w:initials="BC">
    <w:p w14:paraId="7FABFF37" w14:textId="755A8232" w:rsidR="00DD52EB" w:rsidRDefault="003A449A" w:rsidP="00DD52EB">
      <w:r>
        <w:rPr>
          <w:rStyle w:val="CommentReference"/>
        </w:rPr>
        <w:annotationRef/>
      </w:r>
      <w:r w:rsidR="00DD52EB">
        <w:rPr>
          <w:color w:val="000000"/>
          <w:sz w:val="20"/>
          <w:szCs w:val="20"/>
        </w:rPr>
        <w:t>3.1(e) is unacceptable as we are global firm and require multiple offices from our network to review/opine on the Confidential Information. As a compromise, we can agree to only move or allow Confidential Information to be moved from those premises as reasonably necessary for the evaluating of this project.</w:t>
      </w:r>
    </w:p>
  </w:comment>
  <w:comment w:id="44" w:author="Bristol Capital" w:date="2025-05-10T19:48:00Z" w:initials="BC">
    <w:p w14:paraId="2097383C" w14:textId="77777777" w:rsidR="00DD52EB" w:rsidRDefault="00DD52EB" w:rsidP="00DD52EB">
      <w:r>
        <w:rPr>
          <w:rStyle w:val="CommentReference"/>
        </w:rPr>
        <w:annotationRef/>
      </w:r>
      <w:r>
        <w:rPr>
          <w:color w:val="000000"/>
          <w:sz w:val="20"/>
          <w:szCs w:val="20"/>
        </w:rPr>
        <w:t xml:space="preserve">Unacceptable. Bristol Capital can only commit to establish and maintain adequate measures (at its reasonable discretion, and not at the discretion of Party 2), to safeguard Confidential Information […]. </w:t>
      </w:r>
    </w:p>
  </w:comment>
  <w:comment w:id="51" w:author="Bristol Capital" w:date="2025-05-10T19:50:00Z" w:initials="BC">
    <w:p w14:paraId="033347DE" w14:textId="77777777" w:rsidR="00596661" w:rsidRDefault="00DD52EB" w:rsidP="00596661">
      <w:r>
        <w:rPr>
          <w:rStyle w:val="CommentReference"/>
        </w:rPr>
        <w:annotationRef/>
      </w:r>
      <w:r w:rsidR="00596661">
        <w:rPr>
          <w:color w:val="000000"/>
          <w:sz w:val="20"/>
          <w:szCs w:val="20"/>
        </w:rPr>
        <w:t>Unacceptable. Bristol Capital does not have the resources to keep a written record of each individual that accesses the information. Instead, we’d be able to keep a written record of the recipients on an entity basis.</w:t>
      </w:r>
    </w:p>
  </w:comment>
  <w:comment w:id="60" w:author="Bristol Capital" w:date="2025-05-10T19:52:00Z" w:initials="BC">
    <w:p w14:paraId="1276811A" w14:textId="67C5B18C" w:rsidR="00DD52EB" w:rsidRDefault="00DD52EB" w:rsidP="00DD52EB">
      <w:r>
        <w:rPr>
          <w:rStyle w:val="CommentReference"/>
        </w:rPr>
        <w:annotationRef/>
      </w:r>
      <w:r>
        <w:rPr>
          <w:color w:val="000000"/>
          <w:sz w:val="20"/>
          <w:szCs w:val="20"/>
        </w:rPr>
        <w:t>Unacceptable. Bristol Capital can only comply with this obligation as reasonably practicable and legally permissible to do so.</w:t>
      </w:r>
    </w:p>
  </w:comment>
  <w:comment w:id="76" w:author="Bristol Capital" w:date="2025-05-10T19:58:00Z" w:initials="BC">
    <w:p w14:paraId="33B837FB" w14:textId="77777777" w:rsidR="00B75493" w:rsidRDefault="00B75493" w:rsidP="00B75493">
      <w:r>
        <w:rPr>
          <w:rStyle w:val="CommentReference"/>
        </w:rPr>
        <w:annotationRef/>
      </w:r>
      <w:r>
        <w:rPr>
          <w:color w:val="000000"/>
          <w:sz w:val="20"/>
          <w:szCs w:val="20"/>
        </w:rPr>
        <w:t>Unacceptable. As a matter of internal policy, please amend the language as follows: Bristol Capital will only reimburse Analyst AI (and not its group) for any direct liabilities, costs, expenses, damages and losses suffered or incurred by it in connection with our material breach of this Agreement.</w:t>
      </w:r>
    </w:p>
  </w:comment>
  <w:comment w:id="86" w:author="Bristol Capital" w:date="2025-05-10T20:00:00Z" w:initials="BC">
    <w:p w14:paraId="0B861394" w14:textId="77777777" w:rsidR="00B75493" w:rsidRDefault="00B75493" w:rsidP="00B75493">
      <w:r>
        <w:rPr>
          <w:rStyle w:val="CommentReference"/>
        </w:rPr>
        <w:annotationRef/>
      </w:r>
      <w:r>
        <w:rPr>
          <w:color w:val="000000"/>
          <w:sz w:val="20"/>
          <w:szCs w:val="20"/>
        </w:rPr>
        <w:t>Please insert language to permit Bristol Capital to assign, and transfer its right hereunder to any funds or accounts by managed by it.</w:t>
      </w:r>
    </w:p>
  </w:comment>
  <w:comment w:id="101" w:author="Bristol Capital" w:date="2025-05-10T20:02:00Z" w:initials="BC">
    <w:p w14:paraId="09A97398" w14:textId="77777777" w:rsidR="00B75493" w:rsidRDefault="00B75493" w:rsidP="00B75493">
      <w:r>
        <w:rPr>
          <w:rStyle w:val="CommentReference"/>
        </w:rPr>
        <w:annotationRef/>
      </w:r>
      <w:r>
        <w:rPr>
          <w:color w:val="000000"/>
          <w:sz w:val="20"/>
          <w:szCs w:val="20"/>
        </w:rPr>
        <w:t xml:space="preserve">Please insert our address: </w:t>
      </w:r>
    </w:p>
    <w:p w14:paraId="44C43BDA" w14:textId="77777777" w:rsidR="00B75493" w:rsidRDefault="00B75493" w:rsidP="00B75493">
      <w:r>
        <w:rPr>
          <w:color w:val="000000"/>
          <w:sz w:val="20"/>
          <w:szCs w:val="20"/>
        </w:rPr>
        <w:t xml:space="preserve">Bristol Capital Limited </w:t>
      </w:r>
    </w:p>
    <w:p w14:paraId="3738E56D" w14:textId="77777777" w:rsidR="00B75493" w:rsidRDefault="00B75493" w:rsidP="00B75493">
      <w:r>
        <w:rPr>
          <w:color w:val="000000"/>
          <w:sz w:val="20"/>
          <w:szCs w:val="20"/>
        </w:rPr>
        <w:t>20 Longfellow Road</w:t>
      </w:r>
    </w:p>
    <w:p w14:paraId="1CC6482A" w14:textId="77777777" w:rsidR="00B75493" w:rsidRDefault="00B75493" w:rsidP="00B75493">
      <w:r>
        <w:rPr>
          <w:color w:val="000000"/>
          <w:sz w:val="20"/>
          <w:szCs w:val="20"/>
        </w:rPr>
        <w:t>London</w:t>
      </w:r>
    </w:p>
    <w:p w14:paraId="02193727" w14:textId="77777777" w:rsidR="00B75493" w:rsidRDefault="00B75493" w:rsidP="00B75493">
      <w:r>
        <w:rPr>
          <w:color w:val="000000"/>
          <w:sz w:val="20"/>
          <w:szCs w:val="20"/>
        </w:rPr>
        <w:t xml:space="preserve">SW11 9GO </w:t>
      </w:r>
    </w:p>
  </w:comment>
  <w:comment w:id="105" w:author="Bristol Capital" w:date="2025-05-10T20:05:00Z" w:initials="BC">
    <w:p w14:paraId="429BB954" w14:textId="77777777" w:rsidR="00B75493" w:rsidRDefault="00B75493" w:rsidP="00B75493">
      <w:r>
        <w:rPr>
          <w:rStyle w:val="CommentReference"/>
        </w:rPr>
        <w:annotationRef/>
      </w:r>
      <w:r>
        <w:rPr>
          <w:color w:val="000000"/>
          <w:sz w:val="20"/>
          <w:szCs w:val="20"/>
        </w:rPr>
        <w:t xml:space="preserve">Bristol Capital is investing time, money and effort into evaluating this project, therefore, we expect our affiliates (Bristol Capital AI and Bristol Capital Infra) involved in the transaction to be able to rely and enforce the terms hereunder.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789C45" w15:done="0"/>
  <w15:commentEx w15:paraId="69133D03" w15:done="0"/>
  <w15:commentEx w15:paraId="101E428C" w15:done="0"/>
  <w15:commentEx w15:paraId="7969A314" w15:done="0"/>
  <w15:commentEx w15:paraId="7FABFF37" w15:done="0"/>
  <w15:commentEx w15:paraId="2097383C" w15:done="0"/>
  <w15:commentEx w15:paraId="033347DE" w15:done="0"/>
  <w15:commentEx w15:paraId="1276811A" w15:done="0"/>
  <w15:commentEx w15:paraId="33B837FB" w15:done="0"/>
  <w15:commentEx w15:paraId="0B861394" w15:done="0"/>
  <w15:commentEx w15:paraId="02193727" w15:done="0"/>
  <w15:commentEx w15:paraId="429BB9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86A6B" w16cex:dateUtc="2025-05-10T18:29:00Z"/>
  <w16cex:commentExtensible w16cex:durableId="7911D727" w16cex:dateUtc="2025-05-10T18:34:00Z"/>
  <w16cex:commentExtensible w16cex:durableId="055A3D7B" w16cex:dateUtc="2025-05-10T18:37:00Z"/>
  <w16cex:commentExtensible w16cex:durableId="136CB860" w16cex:dateUtc="2025-05-10T19:11:00Z"/>
  <w16cex:commentExtensible w16cex:durableId="51234B09" w16cex:dateUtc="2025-05-10T18:45:00Z"/>
  <w16cex:commentExtensible w16cex:durableId="7EA7D65C" w16cex:dateUtc="2025-05-10T18:48:00Z"/>
  <w16cex:commentExtensible w16cex:durableId="6717F34D" w16cex:dateUtc="2025-05-10T18:50:00Z"/>
  <w16cex:commentExtensible w16cex:durableId="405AE1D5" w16cex:dateUtc="2025-05-10T18:52:00Z"/>
  <w16cex:commentExtensible w16cex:durableId="6B69BF73" w16cex:dateUtc="2025-05-10T18:58:00Z"/>
  <w16cex:commentExtensible w16cex:durableId="71CE04CE" w16cex:dateUtc="2025-05-10T19:00:00Z"/>
  <w16cex:commentExtensible w16cex:durableId="29FE5A26" w16cex:dateUtc="2025-05-10T19:02:00Z"/>
  <w16cex:commentExtensible w16cex:durableId="703BBB05" w16cex:dateUtc="2025-05-10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789C45" w16cid:durableId="70786A6B"/>
  <w16cid:commentId w16cid:paraId="69133D03" w16cid:durableId="7911D727"/>
  <w16cid:commentId w16cid:paraId="101E428C" w16cid:durableId="055A3D7B"/>
  <w16cid:commentId w16cid:paraId="7969A314" w16cid:durableId="136CB860"/>
  <w16cid:commentId w16cid:paraId="7FABFF37" w16cid:durableId="51234B09"/>
  <w16cid:commentId w16cid:paraId="2097383C" w16cid:durableId="7EA7D65C"/>
  <w16cid:commentId w16cid:paraId="033347DE" w16cid:durableId="6717F34D"/>
  <w16cid:commentId w16cid:paraId="1276811A" w16cid:durableId="405AE1D5"/>
  <w16cid:commentId w16cid:paraId="33B837FB" w16cid:durableId="6B69BF73"/>
  <w16cid:commentId w16cid:paraId="0B861394" w16cid:durableId="71CE04CE"/>
  <w16cid:commentId w16cid:paraId="02193727" w16cid:durableId="29FE5A26"/>
  <w16cid:commentId w16cid:paraId="429BB954" w16cid:durableId="703BBB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FB61E" w14:textId="77777777" w:rsidR="004B45D2" w:rsidRDefault="004B45D2">
      <w:pPr>
        <w:spacing w:after="0" w:line="240" w:lineRule="auto"/>
      </w:pPr>
      <w:r>
        <w:separator/>
      </w:r>
    </w:p>
  </w:endnote>
  <w:endnote w:type="continuationSeparator" w:id="0">
    <w:p w14:paraId="60591A20" w14:textId="77777777" w:rsidR="004B45D2" w:rsidRDefault="004B4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1690" w14:textId="77777777" w:rsidR="00010BAD" w:rsidRDefault="00000000">
    <w:pPr>
      <w:jc w:val="center"/>
    </w:pPr>
    <w:r>
      <w:fldChar w:fldCharType="begin"/>
    </w:r>
    <w:r>
      <w:instrText>PAGE</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2824" w14:textId="77777777" w:rsidR="004B45D2" w:rsidRDefault="004B45D2">
      <w:pPr>
        <w:spacing w:after="0" w:line="240" w:lineRule="auto"/>
      </w:pPr>
      <w:r>
        <w:separator/>
      </w:r>
    </w:p>
  </w:footnote>
  <w:footnote w:type="continuationSeparator" w:id="0">
    <w:p w14:paraId="17309FEA" w14:textId="77777777" w:rsidR="004B45D2" w:rsidRDefault="004B4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A27E37BE">
      <w:start w:val="1"/>
      <w:numFmt w:val="bullet"/>
      <w:pStyle w:val="DefinedTermBullet"/>
      <w:lvlText w:val=""/>
      <w:lvlJc w:val="left"/>
      <w:pPr>
        <w:ind w:left="1440" w:hanging="360"/>
      </w:pPr>
      <w:rPr>
        <w:rFonts w:ascii="Symbol" w:hAnsi="Symbol" w:hint="default"/>
        <w:color w:val="000000"/>
      </w:rPr>
    </w:lvl>
    <w:lvl w:ilvl="1" w:tplc="CEF0732E" w:tentative="1">
      <w:start w:val="1"/>
      <w:numFmt w:val="bullet"/>
      <w:lvlText w:val="o"/>
      <w:lvlJc w:val="left"/>
      <w:pPr>
        <w:ind w:left="2160" w:hanging="360"/>
      </w:pPr>
      <w:rPr>
        <w:rFonts w:ascii="Courier New" w:hAnsi="Courier New" w:cs="Courier New" w:hint="default"/>
      </w:rPr>
    </w:lvl>
    <w:lvl w:ilvl="2" w:tplc="34BA49AA" w:tentative="1">
      <w:start w:val="1"/>
      <w:numFmt w:val="bullet"/>
      <w:lvlText w:val=""/>
      <w:lvlJc w:val="left"/>
      <w:pPr>
        <w:ind w:left="2880" w:hanging="360"/>
      </w:pPr>
      <w:rPr>
        <w:rFonts w:ascii="Wingdings" w:hAnsi="Wingdings" w:hint="default"/>
      </w:rPr>
    </w:lvl>
    <w:lvl w:ilvl="3" w:tplc="5762D6A2" w:tentative="1">
      <w:start w:val="1"/>
      <w:numFmt w:val="bullet"/>
      <w:lvlText w:val=""/>
      <w:lvlJc w:val="left"/>
      <w:pPr>
        <w:ind w:left="3600" w:hanging="360"/>
      </w:pPr>
      <w:rPr>
        <w:rFonts w:ascii="Symbol" w:hAnsi="Symbol" w:hint="default"/>
      </w:rPr>
    </w:lvl>
    <w:lvl w:ilvl="4" w:tplc="7E92462E" w:tentative="1">
      <w:start w:val="1"/>
      <w:numFmt w:val="bullet"/>
      <w:lvlText w:val="o"/>
      <w:lvlJc w:val="left"/>
      <w:pPr>
        <w:ind w:left="4320" w:hanging="360"/>
      </w:pPr>
      <w:rPr>
        <w:rFonts w:ascii="Courier New" w:hAnsi="Courier New" w:cs="Courier New" w:hint="default"/>
      </w:rPr>
    </w:lvl>
    <w:lvl w:ilvl="5" w:tplc="CCBCE442" w:tentative="1">
      <w:start w:val="1"/>
      <w:numFmt w:val="bullet"/>
      <w:lvlText w:val=""/>
      <w:lvlJc w:val="left"/>
      <w:pPr>
        <w:ind w:left="5040" w:hanging="360"/>
      </w:pPr>
      <w:rPr>
        <w:rFonts w:ascii="Wingdings" w:hAnsi="Wingdings" w:hint="default"/>
      </w:rPr>
    </w:lvl>
    <w:lvl w:ilvl="6" w:tplc="58F4F308" w:tentative="1">
      <w:start w:val="1"/>
      <w:numFmt w:val="bullet"/>
      <w:lvlText w:val=""/>
      <w:lvlJc w:val="left"/>
      <w:pPr>
        <w:ind w:left="5760" w:hanging="360"/>
      </w:pPr>
      <w:rPr>
        <w:rFonts w:ascii="Symbol" w:hAnsi="Symbol" w:hint="default"/>
      </w:rPr>
    </w:lvl>
    <w:lvl w:ilvl="7" w:tplc="1EE81C56" w:tentative="1">
      <w:start w:val="1"/>
      <w:numFmt w:val="bullet"/>
      <w:lvlText w:val="o"/>
      <w:lvlJc w:val="left"/>
      <w:pPr>
        <w:ind w:left="6480" w:hanging="360"/>
      </w:pPr>
      <w:rPr>
        <w:rFonts w:ascii="Courier New" w:hAnsi="Courier New" w:cs="Courier New" w:hint="default"/>
      </w:rPr>
    </w:lvl>
    <w:lvl w:ilvl="8" w:tplc="4FC0DC28"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2B361708">
      <w:start w:val="1"/>
      <w:numFmt w:val="lowerLetter"/>
      <w:lvlText w:val="%1)"/>
      <w:lvlJc w:val="left"/>
      <w:pPr>
        <w:ind w:left="1714" w:hanging="360"/>
      </w:pPr>
      <w:rPr>
        <w:color w:val="000000"/>
      </w:rPr>
    </w:lvl>
    <w:lvl w:ilvl="1" w:tplc="DE4CB524" w:tentative="1">
      <w:start w:val="1"/>
      <w:numFmt w:val="lowerLetter"/>
      <w:lvlText w:val="%2."/>
      <w:lvlJc w:val="left"/>
      <w:pPr>
        <w:ind w:left="2434" w:hanging="360"/>
      </w:pPr>
    </w:lvl>
    <w:lvl w:ilvl="2" w:tplc="B23E9D0A" w:tentative="1">
      <w:start w:val="1"/>
      <w:numFmt w:val="lowerRoman"/>
      <w:lvlText w:val="%3."/>
      <w:lvlJc w:val="right"/>
      <w:pPr>
        <w:ind w:left="3154" w:hanging="180"/>
      </w:pPr>
    </w:lvl>
    <w:lvl w:ilvl="3" w:tplc="1CAEA8F2" w:tentative="1">
      <w:start w:val="1"/>
      <w:numFmt w:val="decimal"/>
      <w:lvlText w:val="%4."/>
      <w:lvlJc w:val="left"/>
      <w:pPr>
        <w:ind w:left="3874" w:hanging="360"/>
      </w:pPr>
    </w:lvl>
    <w:lvl w:ilvl="4" w:tplc="C3CE4486" w:tentative="1">
      <w:start w:val="1"/>
      <w:numFmt w:val="lowerLetter"/>
      <w:lvlText w:val="%5."/>
      <w:lvlJc w:val="left"/>
      <w:pPr>
        <w:ind w:left="4594" w:hanging="360"/>
      </w:pPr>
    </w:lvl>
    <w:lvl w:ilvl="5" w:tplc="5FB41220" w:tentative="1">
      <w:start w:val="1"/>
      <w:numFmt w:val="lowerRoman"/>
      <w:lvlText w:val="%6."/>
      <w:lvlJc w:val="right"/>
      <w:pPr>
        <w:ind w:left="5314" w:hanging="180"/>
      </w:pPr>
    </w:lvl>
    <w:lvl w:ilvl="6" w:tplc="C64E2206" w:tentative="1">
      <w:start w:val="1"/>
      <w:numFmt w:val="decimal"/>
      <w:lvlText w:val="%7."/>
      <w:lvlJc w:val="left"/>
      <w:pPr>
        <w:ind w:left="6034" w:hanging="360"/>
      </w:pPr>
    </w:lvl>
    <w:lvl w:ilvl="7" w:tplc="CB04EC4E" w:tentative="1">
      <w:start w:val="1"/>
      <w:numFmt w:val="lowerLetter"/>
      <w:lvlText w:val="%8."/>
      <w:lvlJc w:val="left"/>
      <w:pPr>
        <w:ind w:left="6754" w:hanging="360"/>
      </w:pPr>
    </w:lvl>
    <w:lvl w:ilvl="8" w:tplc="3106164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D96A4098">
      <w:start w:val="1"/>
      <w:numFmt w:val="decimal"/>
      <w:lvlText w:val="Schedule %1"/>
      <w:lvlJc w:val="left"/>
      <w:pPr>
        <w:ind w:left="720" w:hanging="360"/>
      </w:pPr>
      <w:rPr>
        <w:rFonts w:hint="default"/>
        <w:color w:val="000000"/>
      </w:rPr>
    </w:lvl>
    <w:lvl w:ilvl="1" w:tplc="7D22E9BA" w:tentative="1">
      <w:start w:val="1"/>
      <w:numFmt w:val="lowerLetter"/>
      <w:lvlText w:val="%2."/>
      <w:lvlJc w:val="left"/>
      <w:pPr>
        <w:ind w:left="1440" w:hanging="360"/>
      </w:pPr>
    </w:lvl>
    <w:lvl w:ilvl="2" w:tplc="0B643C56" w:tentative="1">
      <w:start w:val="1"/>
      <w:numFmt w:val="lowerRoman"/>
      <w:lvlText w:val="%3."/>
      <w:lvlJc w:val="right"/>
      <w:pPr>
        <w:ind w:left="2160" w:hanging="180"/>
      </w:pPr>
    </w:lvl>
    <w:lvl w:ilvl="3" w:tplc="15FE2322" w:tentative="1">
      <w:start w:val="1"/>
      <w:numFmt w:val="decimal"/>
      <w:lvlText w:val="%4."/>
      <w:lvlJc w:val="left"/>
      <w:pPr>
        <w:ind w:left="2880" w:hanging="360"/>
      </w:pPr>
    </w:lvl>
    <w:lvl w:ilvl="4" w:tplc="48401990" w:tentative="1">
      <w:start w:val="1"/>
      <w:numFmt w:val="lowerLetter"/>
      <w:lvlText w:val="%5."/>
      <w:lvlJc w:val="left"/>
      <w:pPr>
        <w:ind w:left="3600" w:hanging="360"/>
      </w:pPr>
    </w:lvl>
    <w:lvl w:ilvl="5" w:tplc="124C5BB4" w:tentative="1">
      <w:start w:val="1"/>
      <w:numFmt w:val="lowerRoman"/>
      <w:lvlText w:val="%6."/>
      <w:lvlJc w:val="right"/>
      <w:pPr>
        <w:ind w:left="4320" w:hanging="180"/>
      </w:pPr>
    </w:lvl>
    <w:lvl w:ilvl="6" w:tplc="7D744D0A" w:tentative="1">
      <w:start w:val="1"/>
      <w:numFmt w:val="decimal"/>
      <w:lvlText w:val="%7."/>
      <w:lvlJc w:val="left"/>
      <w:pPr>
        <w:ind w:left="5040" w:hanging="360"/>
      </w:pPr>
    </w:lvl>
    <w:lvl w:ilvl="7" w:tplc="E73A4420" w:tentative="1">
      <w:start w:val="1"/>
      <w:numFmt w:val="lowerLetter"/>
      <w:lvlText w:val="%8."/>
      <w:lvlJc w:val="left"/>
      <w:pPr>
        <w:ind w:left="5760" w:hanging="360"/>
      </w:pPr>
    </w:lvl>
    <w:lvl w:ilvl="8" w:tplc="EF6EF41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1B948684">
      <w:start w:val="1"/>
      <w:numFmt w:val="decimal"/>
      <w:pStyle w:val="ScheduleHeading-Single"/>
      <w:lvlText w:val="Schedule"/>
      <w:lvlJc w:val="left"/>
      <w:pPr>
        <w:tabs>
          <w:tab w:val="num" w:pos="720"/>
        </w:tabs>
        <w:ind w:left="720" w:hanging="720"/>
      </w:pPr>
      <w:rPr>
        <w:color w:val="000000"/>
      </w:rPr>
    </w:lvl>
    <w:lvl w:ilvl="1" w:tplc="EF6E00FC" w:tentative="1">
      <w:start w:val="1"/>
      <w:numFmt w:val="lowerLetter"/>
      <w:lvlText w:val="%2."/>
      <w:lvlJc w:val="left"/>
      <w:pPr>
        <w:tabs>
          <w:tab w:val="num" w:pos="1440"/>
        </w:tabs>
        <w:ind w:left="1440" w:hanging="360"/>
      </w:pPr>
    </w:lvl>
    <w:lvl w:ilvl="2" w:tplc="0A4208EE" w:tentative="1">
      <w:start w:val="1"/>
      <w:numFmt w:val="lowerRoman"/>
      <w:lvlText w:val="%3."/>
      <w:lvlJc w:val="right"/>
      <w:pPr>
        <w:tabs>
          <w:tab w:val="num" w:pos="2160"/>
        </w:tabs>
        <w:ind w:left="2160" w:hanging="180"/>
      </w:pPr>
    </w:lvl>
    <w:lvl w:ilvl="3" w:tplc="E8A0C0C2" w:tentative="1">
      <w:start w:val="1"/>
      <w:numFmt w:val="decimal"/>
      <w:lvlText w:val="%4."/>
      <w:lvlJc w:val="left"/>
      <w:pPr>
        <w:tabs>
          <w:tab w:val="num" w:pos="2880"/>
        </w:tabs>
        <w:ind w:left="2880" w:hanging="360"/>
      </w:pPr>
    </w:lvl>
    <w:lvl w:ilvl="4" w:tplc="802A5EF0" w:tentative="1">
      <w:start w:val="1"/>
      <w:numFmt w:val="lowerLetter"/>
      <w:lvlText w:val="%5."/>
      <w:lvlJc w:val="left"/>
      <w:pPr>
        <w:tabs>
          <w:tab w:val="num" w:pos="3600"/>
        </w:tabs>
        <w:ind w:left="3600" w:hanging="360"/>
      </w:pPr>
    </w:lvl>
    <w:lvl w:ilvl="5" w:tplc="759C7732" w:tentative="1">
      <w:start w:val="1"/>
      <w:numFmt w:val="lowerRoman"/>
      <w:lvlText w:val="%6."/>
      <w:lvlJc w:val="right"/>
      <w:pPr>
        <w:tabs>
          <w:tab w:val="num" w:pos="4320"/>
        </w:tabs>
        <w:ind w:left="4320" w:hanging="180"/>
      </w:pPr>
    </w:lvl>
    <w:lvl w:ilvl="6" w:tplc="2294D318" w:tentative="1">
      <w:start w:val="1"/>
      <w:numFmt w:val="decimal"/>
      <w:lvlText w:val="%7."/>
      <w:lvlJc w:val="left"/>
      <w:pPr>
        <w:tabs>
          <w:tab w:val="num" w:pos="5040"/>
        </w:tabs>
        <w:ind w:left="5040" w:hanging="360"/>
      </w:pPr>
    </w:lvl>
    <w:lvl w:ilvl="7" w:tplc="C638E0A8" w:tentative="1">
      <w:start w:val="1"/>
      <w:numFmt w:val="lowerLetter"/>
      <w:lvlText w:val="%8."/>
      <w:lvlJc w:val="left"/>
      <w:pPr>
        <w:tabs>
          <w:tab w:val="num" w:pos="5760"/>
        </w:tabs>
        <w:ind w:left="5760" w:hanging="360"/>
      </w:pPr>
    </w:lvl>
    <w:lvl w:ilvl="8" w:tplc="2F5AF31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9084938E">
      <w:start w:val="1"/>
      <w:numFmt w:val="decimal"/>
      <w:lvlText w:val="Part %1"/>
      <w:lvlJc w:val="left"/>
      <w:pPr>
        <w:ind w:left="720" w:hanging="360"/>
      </w:pPr>
      <w:rPr>
        <w:rFonts w:hint="default"/>
        <w:b/>
        <w:i w:val="0"/>
        <w:color w:val="000000"/>
      </w:rPr>
    </w:lvl>
    <w:lvl w:ilvl="1" w:tplc="4C1E90CE" w:tentative="1">
      <w:start w:val="1"/>
      <w:numFmt w:val="lowerLetter"/>
      <w:lvlText w:val="%2."/>
      <w:lvlJc w:val="left"/>
      <w:pPr>
        <w:ind w:left="1440" w:hanging="360"/>
      </w:pPr>
    </w:lvl>
    <w:lvl w:ilvl="2" w:tplc="CC8A3FCA" w:tentative="1">
      <w:start w:val="1"/>
      <w:numFmt w:val="lowerRoman"/>
      <w:lvlText w:val="%3."/>
      <w:lvlJc w:val="right"/>
      <w:pPr>
        <w:ind w:left="2160" w:hanging="180"/>
      </w:pPr>
    </w:lvl>
    <w:lvl w:ilvl="3" w:tplc="B57E33AE" w:tentative="1">
      <w:start w:val="1"/>
      <w:numFmt w:val="decimal"/>
      <w:lvlText w:val="%4."/>
      <w:lvlJc w:val="left"/>
      <w:pPr>
        <w:ind w:left="2880" w:hanging="360"/>
      </w:pPr>
    </w:lvl>
    <w:lvl w:ilvl="4" w:tplc="E63298B8" w:tentative="1">
      <w:start w:val="1"/>
      <w:numFmt w:val="lowerLetter"/>
      <w:lvlText w:val="%5."/>
      <w:lvlJc w:val="left"/>
      <w:pPr>
        <w:ind w:left="3600" w:hanging="360"/>
      </w:pPr>
    </w:lvl>
    <w:lvl w:ilvl="5" w:tplc="4FF85DB4" w:tentative="1">
      <w:start w:val="1"/>
      <w:numFmt w:val="lowerRoman"/>
      <w:lvlText w:val="%6."/>
      <w:lvlJc w:val="right"/>
      <w:pPr>
        <w:ind w:left="4320" w:hanging="180"/>
      </w:pPr>
    </w:lvl>
    <w:lvl w:ilvl="6" w:tplc="44C00C4C" w:tentative="1">
      <w:start w:val="1"/>
      <w:numFmt w:val="decimal"/>
      <w:lvlText w:val="%7."/>
      <w:lvlJc w:val="left"/>
      <w:pPr>
        <w:ind w:left="5040" w:hanging="360"/>
      </w:pPr>
    </w:lvl>
    <w:lvl w:ilvl="7" w:tplc="1006FB1C" w:tentative="1">
      <w:start w:val="1"/>
      <w:numFmt w:val="lowerLetter"/>
      <w:lvlText w:val="%8."/>
      <w:lvlJc w:val="left"/>
      <w:pPr>
        <w:ind w:left="5760" w:hanging="360"/>
      </w:pPr>
    </w:lvl>
    <w:lvl w:ilvl="8" w:tplc="EDBA968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74E285B0">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3C3E9B38" w:tentative="1">
      <w:start w:val="1"/>
      <w:numFmt w:val="lowerLetter"/>
      <w:lvlText w:val="%2."/>
      <w:lvlJc w:val="left"/>
      <w:pPr>
        <w:ind w:left="1440" w:hanging="360"/>
      </w:pPr>
    </w:lvl>
    <w:lvl w:ilvl="2" w:tplc="5DA877C0" w:tentative="1">
      <w:start w:val="1"/>
      <w:numFmt w:val="lowerRoman"/>
      <w:lvlText w:val="%3."/>
      <w:lvlJc w:val="right"/>
      <w:pPr>
        <w:ind w:left="2160" w:hanging="180"/>
      </w:pPr>
    </w:lvl>
    <w:lvl w:ilvl="3" w:tplc="788E3A36" w:tentative="1">
      <w:start w:val="1"/>
      <w:numFmt w:val="decimal"/>
      <w:lvlText w:val="%4."/>
      <w:lvlJc w:val="left"/>
      <w:pPr>
        <w:ind w:left="2880" w:hanging="360"/>
      </w:pPr>
    </w:lvl>
    <w:lvl w:ilvl="4" w:tplc="AFEEAF6C" w:tentative="1">
      <w:start w:val="1"/>
      <w:numFmt w:val="lowerLetter"/>
      <w:lvlText w:val="%5."/>
      <w:lvlJc w:val="left"/>
      <w:pPr>
        <w:ind w:left="3600" w:hanging="360"/>
      </w:pPr>
    </w:lvl>
    <w:lvl w:ilvl="5" w:tplc="4C84DE8E" w:tentative="1">
      <w:start w:val="1"/>
      <w:numFmt w:val="lowerRoman"/>
      <w:lvlText w:val="%6."/>
      <w:lvlJc w:val="right"/>
      <w:pPr>
        <w:ind w:left="4320" w:hanging="180"/>
      </w:pPr>
    </w:lvl>
    <w:lvl w:ilvl="6" w:tplc="B1663768" w:tentative="1">
      <w:start w:val="1"/>
      <w:numFmt w:val="decimal"/>
      <w:lvlText w:val="%7."/>
      <w:lvlJc w:val="left"/>
      <w:pPr>
        <w:ind w:left="5040" w:hanging="360"/>
      </w:pPr>
    </w:lvl>
    <w:lvl w:ilvl="7" w:tplc="ECF05FAA" w:tentative="1">
      <w:start w:val="1"/>
      <w:numFmt w:val="lowerLetter"/>
      <w:lvlText w:val="%8."/>
      <w:lvlJc w:val="left"/>
      <w:pPr>
        <w:ind w:left="5760" w:hanging="360"/>
      </w:pPr>
    </w:lvl>
    <w:lvl w:ilvl="8" w:tplc="595A2B90" w:tentative="1">
      <w:start w:val="1"/>
      <w:numFmt w:val="lowerRoman"/>
      <w:lvlText w:val="%9."/>
      <w:lvlJc w:val="right"/>
      <w:pPr>
        <w:ind w:left="6480" w:hanging="180"/>
      </w:pPr>
    </w:lvl>
  </w:abstractNum>
  <w:abstractNum w:abstractNumId="20" w15:restartNumberingAfterBreak="0">
    <w:nsid w:val="26D1550C"/>
    <w:multiLevelType w:val="multilevel"/>
    <w:tmpl w:val="5BD440DC"/>
    <w:lvl w:ilvl="0">
      <w:start w:val="1"/>
      <w:numFmt w:val="decimal"/>
      <w:lvlText w:val="%1."/>
      <w:lvlJc w:val="left"/>
      <w:pPr>
        <w:tabs>
          <w:tab w:val="num" w:pos="720"/>
        </w:tabs>
        <w:ind w:left="720" w:hanging="360"/>
      </w:pPr>
      <w:rPr>
        <w:color w:val="0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9C94F29"/>
    <w:multiLevelType w:val="hybridMultilevel"/>
    <w:tmpl w:val="4CBC2A34"/>
    <w:lvl w:ilvl="0" w:tplc="BF42D708">
      <w:start w:val="1"/>
      <w:numFmt w:val="decimal"/>
      <w:pStyle w:val="QuestionParagraph"/>
      <w:lvlText w:val="%1."/>
      <w:lvlJc w:val="left"/>
      <w:pPr>
        <w:ind w:left="720" w:hanging="360"/>
      </w:pPr>
      <w:rPr>
        <w:color w:val="000000"/>
      </w:rPr>
    </w:lvl>
    <w:lvl w:ilvl="1" w:tplc="CEA08894" w:tentative="1">
      <w:start w:val="1"/>
      <w:numFmt w:val="lowerLetter"/>
      <w:lvlText w:val="%2."/>
      <w:lvlJc w:val="left"/>
      <w:pPr>
        <w:ind w:left="1440" w:hanging="360"/>
      </w:pPr>
    </w:lvl>
    <w:lvl w:ilvl="2" w:tplc="01882832" w:tentative="1">
      <w:start w:val="1"/>
      <w:numFmt w:val="lowerRoman"/>
      <w:lvlText w:val="%3."/>
      <w:lvlJc w:val="right"/>
      <w:pPr>
        <w:ind w:left="2160" w:hanging="180"/>
      </w:pPr>
    </w:lvl>
    <w:lvl w:ilvl="3" w:tplc="72FA85EE" w:tentative="1">
      <w:start w:val="1"/>
      <w:numFmt w:val="decimal"/>
      <w:lvlText w:val="%4."/>
      <w:lvlJc w:val="left"/>
      <w:pPr>
        <w:ind w:left="2880" w:hanging="360"/>
      </w:pPr>
    </w:lvl>
    <w:lvl w:ilvl="4" w:tplc="75DE3318" w:tentative="1">
      <w:start w:val="1"/>
      <w:numFmt w:val="lowerLetter"/>
      <w:lvlText w:val="%5."/>
      <w:lvlJc w:val="left"/>
      <w:pPr>
        <w:ind w:left="3600" w:hanging="360"/>
      </w:pPr>
    </w:lvl>
    <w:lvl w:ilvl="5" w:tplc="AB6A834A" w:tentative="1">
      <w:start w:val="1"/>
      <w:numFmt w:val="lowerRoman"/>
      <w:lvlText w:val="%6."/>
      <w:lvlJc w:val="right"/>
      <w:pPr>
        <w:ind w:left="4320" w:hanging="180"/>
      </w:pPr>
    </w:lvl>
    <w:lvl w:ilvl="6" w:tplc="1FE03496" w:tentative="1">
      <w:start w:val="1"/>
      <w:numFmt w:val="decimal"/>
      <w:lvlText w:val="%7."/>
      <w:lvlJc w:val="left"/>
      <w:pPr>
        <w:ind w:left="5040" w:hanging="360"/>
      </w:pPr>
    </w:lvl>
    <w:lvl w:ilvl="7" w:tplc="D2C42078" w:tentative="1">
      <w:start w:val="1"/>
      <w:numFmt w:val="lowerLetter"/>
      <w:lvlText w:val="%8."/>
      <w:lvlJc w:val="left"/>
      <w:pPr>
        <w:ind w:left="5760" w:hanging="360"/>
      </w:pPr>
    </w:lvl>
    <w:lvl w:ilvl="8" w:tplc="2256AE8E" w:tentative="1">
      <w:start w:val="1"/>
      <w:numFmt w:val="lowerRoman"/>
      <w:lvlText w:val="%9."/>
      <w:lvlJc w:val="right"/>
      <w:pPr>
        <w:ind w:left="6480" w:hanging="180"/>
      </w:pPr>
    </w:lvl>
  </w:abstractNum>
  <w:abstractNum w:abstractNumId="22" w15:restartNumberingAfterBreak="0">
    <w:nsid w:val="310416CA"/>
    <w:multiLevelType w:val="hybridMultilevel"/>
    <w:tmpl w:val="072EDEC8"/>
    <w:lvl w:ilvl="0" w:tplc="CD8C0EEC">
      <w:start w:val="1"/>
      <w:numFmt w:val="bullet"/>
      <w:pStyle w:val="subclause2Bullet2"/>
      <w:lvlText w:val=""/>
      <w:lvlJc w:val="left"/>
      <w:pPr>
        <w:ind w:left="2279" w:hanging="360"/>
      </w:pPr>
      <w:rPr>
        <w:rFonts w:ascii="Symbol" w:hAnsi="Symbol" w:hint="default"/>
        <w:color w:val="000000"/>
      </w:rPr>
    </w:lvl>
    <w:lvl w:ilvl="1" w:tplc="EC10A19A" w:tentative="1">
      <w:start w:val="1"/>
      <w:numFmt w:val="bullet"/>
      <w:lvlText w:val="o"/>
      <w:lvlJc w:val="left"/>
      <w:pPr>
        <w:ind w:left="2999" w:hanging="360"/>
      </w:pPr>
      <w:rPr>
        <w:rFonts w:ascii="Courier New" w:hAnsi="Courier New" w:cs="Courier New" w:hint="default"/>
      </w:rPr>
    </w:lvl>
    <w:lvl w:ilvl="2" w:tplc="FC32AFD6" w:tentative="1">
      <w:start w:val="1"/>
      <w:numFmt w:val="bullet"/>
      <w:lvlText w:val=""/>
      <w:lvlJc w:val="left"/>
      <w:pPr>
        <w:ind w:left="3719" w:hanging="360"/>
      </w:pPr>
      <w:rPr>
        <w:rFonts w:ascii="Wingdings" w:hAnsi="Wingdings" w:hint="default"/>
      </w:rPr>
    </w:lvl>
    <w:lvl w:ilvl="3" w:tplc="206ADDB6" w:tentative="1">
      <w:start w:val="1"/>
      <w:numFmt w:val="bullet"/>
      <w:lvlText w:val=""/>
      <w:lvlJc w:val="left"/>
      <w:pPr>
        <w:ind w:left="4439" w:hanging="360"/>
      </w:pPr>
      <w:rPr>
        <w:rFonts w:ascii="Symbol" w:hAnsi="Symbol" w:hint="default"/>
      </w:rPr>
    </w:lvl>
    <w:lvl w:ilvl="4" w:tplc="282C9064" w:tentative="1">
      <w:start w:val="1"/>
      <w:numFmt w:val="bullet"/>
      <w:lvlText w:val="o"/>
      <w:lvlJc w:val="left"/>
      <w:pPr>
        <w:ind w:left="5159" w:hanging="360"/>
      </w:pPr>
      <w:rPr>
        <w:rFonts w:ascii="Courier New" w:hAnsi="Courier New" w:cs="Courier New" w:hint="default"/>
      </w:rPr>
    </w:lvl>
    <w:lvl w:ilvl="5" w:tplc="D66A3FBE" w:tentative="1">
      <w:start w:val="1"/>
      <w:numFmt w:val="bullet"/>
      <w:lvlText w:val=""/>
      <w:lvlJc w:val="left"/>
      <w:pPr>
        <w:ind w:left="5879" w:hanging="360"/>
      </w:pPr>
      <w:rPr>
        <w:rFonts w:ascii="Wingdings" w:hAnsi="Wingdings" w:hint="default"/>
      </w:rPr>
    </w:lvl>
    <w:lvl w:ilvl="6" w:tplc="EC1EDA12" w:tentative="1">
      <w:start w:val="1"/>
      <w:numFmt w:val="bullet"/>
      <w:lvlText w:val=""/>
      <w:lvlJc w:val="left"/>
      <w:pPr>
        <w:ind w:left="6599" w:hanging="360"/>
      </w:pPr>
      <w:rPr>
        <w:rFonts w:ascii="Symbol" w:hAnsi="Symbol" w:hint="default"/>
      </w:rPr>
    </w:lvl>
    <w:lvl w:ilvl="7" w:tplc="8E6AE606" w:tentative="1">
      <w:start w:val="1"/>
      <w:numFmt w:val="bullet"/>
      <w:lvlText w:val="o"/>
      <w:lvlJc w:val="left"/>
      <w:pPr>
        <w:ind w:left="7319" w:hanging="360"/>
      </w:pPr>
      <w:rPr>
        <w:rFonts w:ascii="Courier New" w:hAnsi="Courier New" w:cs="Courier New" w:hint="default"/>
      </w:rPr>
    </w:lvl>
    <w:lvl w:ilvl="8" w:tplc="24681046" w:tentative="1">
      <w:start w:val="1"/>
      <w:numFmt w:val="bullet"/>
      <w:lvlText w:val=""/>
      <w:lvlJc w:val="left"/>
      <w:pPr>
        <w:ind w:left="8039" w:hanging="360"/>
      </w:pPr>
      <w:rPr>
        <w:rFonts w:ascii="Wingdings" w:hAnsi="Wingdings" w:hint="default"/>
      </w:rPr>
    </w:lvl>
  </w:abstractNum>
  <w:abstractNum w:abstractNumId="23" w15:restartNumberingAfterBreak="0">
    <w:nsid w:val="31E9741F"/>
    <w:multiLevelType w:val="hybridMultilevel"/>
    <w:tmpl w:val="0CAC7D4E"/>
    <w:lvl w:ilvl="0" w:tplc="7F4C1436">
      <w:start w:val="1"/>
      <w:numFmt w:val="bullet"/>
      <w:pStyle w:val="BulletList2"/>
      <w:lvlText w:val=""/>
      <w:lvlJc w:val="left"/>
      <w:pPr>
        <w:tabs>
          <w:tab w:val="num" w:pos="1077"/>
        </w:tabs>
        <w:ind w:left="1077" w:hanging="357"/>
      </w:pPr>
      <w:rPr>
        <w:rFonts w:ascii="Symbol" w:hAnsi="Symbol" w:hint="default"/>
        <w:color w:val="000000"/>
      </w:rPr>
    </w:lvl>
    <w:lvl w:ilvl="1" w:tplc="D8C8FC6A" w:tentative="1">
      <w:start w:val="1"/>
      <w:numFmt w:val="bullet"/>
      <w:lvlText w:val="o"/>
      <w:lvlJc w:val="left"/>
      <w:pPr>
        <w:tabs>
          <w:tab w:val="num" w:pos="1440"/>
        </w:tabs>
        <w:ind w:left="1440" w:hanging="360"/>
      </w:pPr>
      <w:rPr>
        <w:rFonts w:ascii="Courier New" w:hAnsi="Courier New" w:cs="Courier New" w:hint="default"/>
      </w:rPr>
    </w:lvl>
    <w:lvl w:ilvl="2" w:tplc="36F23F08" w:tentative="1">
      <w:start w:val="1"/>
      <w:numFmt w:val="bullet"/>
      <w:lvlText w:val=""/>
      <w:lvlJc w:val="left"/>
      <w:pPr>
        <w:tabs>
          <w:tab w:val="num" w:pos="2160"/>
        </w:tabs>
        <w:ind w:left="2160" w:hanging="360"/>
      </w:pPr>
      <w:rPr>
        <w:rFonts w:ascii="Wingdings" w:hAnsi="Wingdings" w:hint="default"/>
      </w:rPr>
    </w:lvl>
    <w:lvl w:ilvl="3" w:tplc="7B5AA8EC" w:tentative="1">
      <w:start w:val="1"/>
      <w:numFmt w:val="bullet"/>
      <w:lvlText w:val=""/>
      <w:lvlJc w:val="left"/>
      <w:pPr>
        <w:tabs>
          <w:tab w:val="num" w:pos="2880"/>
        </w:tabs>
        <w:ind w:left="2880" w:hanging="360"/>
      </w:pPr>
      <w:rPr>
        <w:rFonts w:ascii="Symbol" w:hAnsi="Symbol" w:hint="default"/>
      </w:rPr>
    </w:lvl>
    <w:lvl w:ilvl="4" w:tplc="F0B25EE8" w:tentative="1">
      <w:start w:val="1"/>
      <w:numFmt w:val="bullet"/>
      <w:lvlText w:val="o"/>
      <w:lvlJc w:val="left"/>
      <w:pPr>
        <w:tabs>
          <w:tab w:val="num" w:pos="3600"/>
        </w:tabs>
        <w:ind w:left="3600" w:hanging="360"/>
      </w:pPr>
      <w:rPr>
        <w:rFonts w:ascii="Courier New" w:hAnsi="Courier New" w:cs="Courier New" w:hint="default"/>
      </w:rPr>
    </w:lvl>
    <w:lvl w:ilvl="5" w:tplc="47CE13CA" w:tentative="1">
      <w:start w:val="1"/>
      <w:numFmt w:val="bullet"/>
      <w:lvlText w:val=""/>
      <w:lvlJc w:val="left"/>
      <w:pPr>
        <w:tabs>
          <w:tab w:val="num" w:pos="4320"/>
        </w:tabs>
        <w:ind w:left="4320" w:hanging="360"/>
      </w:pPr>
      <w:rPr>
        <w:rFonts w:ascii="Wingdings" w:hAnsi="Wingdings" w:hint="default"/>
      </w:rPr>
    </w:lvl>
    <w:lvl w:ilvl="6" w:tplc="B4E0749E" w:tentative="1">
      <w:start w:val="1"/>
      <w:numFmt w:val="bullet"/>
      <w:lvlText w:val=""/>
      <w:lvlJc w:val="left"/>
      <w:pPr>
        <w:tabs>
          <w:tab w:val="num" w:pos="5040"/>
        </w:tabs>
        <w:ind w:left="5040" w:hanging="360"/>
      </w:pPr>
      <w:rPr>
        <w:rFonts w:ascii="Symbol" w:hAnsi="Symbol" w:hint="default"/>
      </w:rPr>
    </w:lvl>
    <w:lvl w:ilvl="7" w:tplc="70AAA15E" w:tentative="1">
      <w:start w:val="1"/>
      <w:numFmt w:val="bullet"/>
      <w:lvlText w:val="o"/>
      <w:lvlJc w:val="left"/>
      <w:pPr>
        <w:tabs>
          <w:tab w:val="num" w:pos="5760"/>
        </w:tabs>
        <w:ind w:left="5760" w:hanging="360"/>
      </w:pPr>
      <w:rPr>
        <w:rFonts w:ascii="Courier New" w:hAnsi="Courier New" w:cs="Courier New" w:hint="default"/>
      </w:rPr>
    </w:lvl>
    <w:lvl w:ilvl="8" w:tplc="1736D01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3CC668D"/>
    <w:multiLevelType w:val="hybridMultilevel"/>
    <w:tmpl w:val="594C4DAE"/>
    <w:lvl w:ilvl="0" w:tplc="6C321B34">
      <w:start w:val="1"/>
      <w:numFmt w:val="bullet"/>
      <w:pStyle w:val="Bullet4"/>
      <w:lvlText w:val=""/>
      <w:lvlJc w:val="left"/>
      <w:pPr>
        <w:tabs>
          <w:tab w:val="num" w:pos="2676"/>
        </w:tabs>
        <w:ind w:left="2676" w:hanging="357"/>
      </w:pPr>
      <w:rPr>
        <w:rFonts w:ascii="Symbol" w:hAnsi="Symbol" w:hint="default"/>
        <w:color w:val="000000"/>
      </w:rPr>
    </w:lvl>
    <w:lvl w:ilvl="1" w:tplc="D9203D4E" w:tentative="1">
      <w:start w:val="1"/>
      <w:numFmt w:val="bullet"/>
      <w:lvlText w:val="o"/>
      <w:lvlJc w:val="left"/>
      <w:pPr>
        <w:tabs>
          <w:tab w:val="num" w:pos="1440"/>
        </w:tabs>
        <w:ind w:left="1440" w:hanging="360"/>
      </w:pPr>
      <w:rPr>
        <w:rFonts w:ascii="Courier New" w:hAnsi="Courier New" w:cs="Courier New" w:hint="default"/>
      </w:rPr>
    </w:lvl>
    <w:lvl w:ilvl="2" w:tplc="21FC26C8" w:tentative="1">
      <w:start w:val="1"/>
      <w:numFmt w:val="bullet"/>
      <w:lvlText w:val=""/>
      <w:lvlJc w:val="left"/>
      <w:pPr>
        <w:tabs>
          <w:tab w:val="num" w:pos="2160"/>
        </w:tabs>
        <w:ind w:left="2160" w:hanging="360"/>
      </w:pPr>
      <w:rPr>
        <w:rFonts w:ascii="Wingdings" w:hAnsi="Wingdings" w:hint="default"/>
      </w:rPr>
    </w:lvl>
    <w:lvl w:ilvl="3" w:tplc="11425414" w:tentative="1">
      <w:start w:val="1"/>
      <w:numFmt w:val="bullet"/>
      <w:lvlText w:val=""/>
      <w:lvlJc w:val="left"/>
      <w:pPr>
        <w:tabs>
          <w:tab w:val="num" w:pos="2880"/>
        </w:tabs>
        <w:ind w:left="2880" w:hanging="360"/>
      </w:pPr>
      <w:rPr>
        <w:rFonts w:ascii="Symbol" w:hAnsi="Symbol" w:hint="default"/>
      </w:rPr>
    </w:lvl>
    <w:lvl w:ilvl="4" w:tplc="1DC21868" w:tentative="1">
      <w:start w:val="1"/>
      <w:numFmt w:val="bullet"/>
      <w:lvlText w:val="o"/>
      <w:lvlJc w:val="left"/>
      <w:pPr>
        <w:tabs>
          <w:tab w:val="num" w:pos="3600"/>
        </w:tabs>
        <w:ind w:left="3600" w:hanging="360"/>
      </w:pPr>
      <w:rPr>
        <w:rFonts w:ascii="Courier New" w:hAnsi="Courier New" w:cs="Courier New" w:hint="default"/>
      </w:rPr>
    </w:lvl>
    <w:lvl w:ilvl="5" w:tplc="BBDC5E9E" w:tentative="1">
      <w:start w:val="1"/>
      <w:numFmt w:val="bullet"/>
      <w:lvlText w:val=""/>
      <w:lvlJc w:val="left"/>
      <w:pPr>
        <w:tabs>
          <w:tab w:val="num" w:pos="4320"/>
        </w:tabs>
        <w:ind w:left="4320" w:hanging="360"/>
      </w:pPr>
      <w:rPr>
        <w:rFonts w:ascii="Wingdings" w:hAnsi="Wingdings" w:hint="default"/>
      </w:rPr>
    </w:lvl>
    <w:lvl w:ilvl="6" w:tplc="4D121C08" w:tentative="1">
      <w:start w:val="1"/>
      <w:numFmt w:val="bullet"/>
      <w:lvlText w:val=""/>
      <w:lvlJc w:val="left"/>
      <w:pPr>
        <w:tabs>
          <w:tab w:val="num" w:pos="5040"/>
        </w:tabs>
        <w:ind w:left="5040" w:hanging="360"/>
      </w:pPr>
      <w:rPr>
        <w:rFonts w:ascii="Symbol" w:hAnsi="Symbol" w:hint="default"/>
      </w:rPr>
    </w:lvl>
    <w:lvl w:ilvl="7" w:tplc="B4E692A4" w:tentative="1">
      <w:start w:val="1"/>
      <w:numFmt w:val="bullet"/>
      <w:lvlText w:val="o"/>
      <w:lvlJc w:val="left"/>
      <w:pPr>
        <w:tabs>
          <w:tab w:val="num" w:pos="5760"/>
        </w:tabs>
        <w:ind w:left="5760" w:hanging="360"/>
      </w:pPr>
      <w:rPr>
        <w:rFonts w:ascii="Courier New" w:hAnsi="Courier New" w:cs="Courier New" w:hint="default"/>
      </w:rPr>
    </w:lvl>
    <w:lvl w:ilvl="8" w:tplc="2F9CF57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6" w15:restartNumberingAfterBreak="0">
    <w:nsid w:val="38130038"/>
    <w:multiLevelType w:val="hybridMultilevel"/>
    <w:tmpl w:val="FF8A0FAE"/>
    <w:lvl w:ilvl="0" w:tplc="692E674C">
      <w:start w:val="1"/>
      <w:numFmt w:val="bullet"/>
      <w:pStyle w:val="ClauseBullet2"/>
      <w:lvlText w:val=""/>
      <w:lvlJc w:val="left"/>
      <w:pPr>
        <w:ind w:left="1440" w:hanging="360"/>
      </w:pPr>
      <w:rPr>
        <w:rFonts w:ascii="Symbol" w:hAnsi="Symbol" w:hint="default"/>
        <w:color w:val="000000"/>
      </w:rPr>
    </w:lvl>
    <w:lvl w:ilvl="1" w:tplc="574A30DA" w:tentative="1">
      <w:start w:val="1"/>
      <w:numFmt w:val="bullet"/>
      <w:lvlText w:val="o"/>
      <w:lvlJc w:val="left"/>
      <w:pPr>
        <w:ind w:left="2160" w:hanging="360"/>
      </w:pPr>
      <w:rPr>
        <w:rFonts w:ascii="Courier New" w:hAnsi="Courier New" w:cs="Courier New" w:hint="default"/>
      </w:rPr>
    </w:lvl>
    <w:lvl w:ilvl="2" w:tplc="873C985A" w:tentative="1">
      <w:start w:val="1"/>
      <w:numFmt w:val="bullet"/>
      <w:lvlText w:val=""/>
      <w:lvlJc w:val="left"/>
      <w:pPr>
        <w:ind w:left="2880" w:hanging="360"/>
      </w:pPr>
      <w:rPr>
        <w:rFonts w:ascii="Wingdings" w:hAnsi="Wingdings" w:hint="default"/>
      </w:rPr>
    </w:lvl>
    <w:lvl w:ilvl="3" w:tplc="63EA93CA" w:tentative="1">
      <w:start w:val="1"/>
      <w:numFmt w:val="bullet"/>
      <w:lvlText w:val=""/>
      <w:lvlJc w:val="left"/>
      <w:pPr>
        <w:ind w:left="3600" w:hanging="360"/>
      </w:pPr>
      <w:rPr>
        <w:rFonts w:ascii="Symbol" w:hAnsi="Symbol" w:hint="default"/>
      </w:rPr>
    </w:lvl>
    <w:lvl w:ilvl="4" w:tplc="0EFC2288" w:tentative="1">
      <w:start w:val="1"/>
      <w:numFmt w:val="bullet"/>
      <w:lvlText w:val="o"/>
      <w:lvlJc w:val="left"/>
      <w:pPr>
        <w:ind w:left="4320" w:hanging="360"/>
      </w:pPr>
      <w:rPr>
        <w:rFonts w:ascii="Courier New" w:hAnsi="Courier New" w:cs="Courier New" w:hint="default"/>
      </w:rPr>
    </w:lvl>
    <w:lvl w:ilvl="5" w:tplc="24CE7D90" w:tentative="1">
      <w:start w:val="1"/>
      <w:numFmt w:val="bullet"/>
      <w:lvlText w:val=""/>
      <w:lvlJc w:val="left"/>
      <w:pPr>
        <w:ind w:left="5040" w:hanging="360"/>
      </w:pPr>
      <w:rPr>
        <w:rFonts w:ascii="Wingdings" w:hAnsi="Wingdings" w:hint="default"/>
      </w:rPr>
    </w:lvl>
    <w:lvl w:ilvl="6" w:tplc="98F80920" w:tentative="1">
      <w:start w:val="1"/>
      <w:numFmt w:val="bullet"/>
      <w:lvlText w:val=""/>
      <w:lvlJc w:val="left"/>
      <w:pPr>
        <w:ind w:left="5760" w:hanging="360"/>
      </w:pPr>
      <w:rPr>
        <w:rFonts w:ascii="Symbol" w:hAnsi="Symbol" w:hint="default"/>
      </w:rPr>
    </w:lvl>
    <w:lvl w:ilvl="7" w:tplc="4F1C6AD2" w:tentative="1">
      <w:start w:val="1"/>
      <w:numFmt w:val="bullet"/>
      <w:lvlText w:val="o"/>
      <w:lvlJc w:val="left"/>
      <w:pPr>
        <w:ind w:left="6480" w:hanging="360"/>
      </w:pPr>
      <w:rPr>
        <w:rFonts w:ascii="Courier New" w:hAnsi="Courier New" w:cs="Courier New" w:hint="default"/>
      </w:rPr>
    </w:lvl>
    <w:lvl w:ilvl="8" w:tplc="7018B616" w:tentative="1">
      <w:start w:val="1"/>
      <w:numFmt w:val="bullet"/>
      <w:lvlText w:val=""/>
      <w:lvlJc w:val="left"/>
      <w:pPr>
        <w:ind w:left="7200" w:hanging="360"/>
      </w:pPr>
      <w:rPr>
        <w:rFonts w:ascii="Wingdings" w:hAnsi="Wingdings" w:hint="default"/>
      </w:rPr>
    </w:lvl>
  </w:abstractNum>
  <w:abstractNum w:abstractNumId="27" w15:restartNumberingAfterBreak="0">
    <w:nsid w:val="402E6DC1"/>
    <w:multiLevelType w:val="hybridMultilevel"/>
    <w:tmpl w:val="8AAEB3E8"/>
    <w:lvl w:ilvl="0" w:tplc="3C28483C">
      <w:start w:val="1"/>
      <w:numFmt w:val="bullet"/>
      <w:lvlText w:val=""/>
      <w:lvlJc w:val="left"/>
      <w:pPr>
        <w:ind w:left="720" w:hanging="360"/>
      </w:pPr>
      <w:rPr>
        <w:rFonts w:ascii="Symbol" w:hAnsi="Symbol" w:hint="default"/>
        <w:color w:val="000000"/>
      </w:rPr>
    </w:lvl>
    <w:lvl w:ilvl="1" w:tplc="B63E0E82" w:tentative="1">
      <w:start w:val="1"/>
      <w:numFmt w:val="bullet"/>
      <w:lvlText w:val="o"/>
      <w:lvlJc w:val="left"/>
      <w:pPr>
        <w:ind w:left="1440" w:hanging="360"/>
      </w:pPr>
      <w:rPr>
        <w:rFonts w:ascii="Courier New" w:hAnsi="Courier New" w:cs="Courier New" w:hint="default"/>
      </w:rPr>
    </w:lvl>
    <w:lvl w:ilvl="2" w:tplc="E8C8D722" w:tentative="1">
      <w:start w:val="1"/>
      <w:numFmt w:val="bullet"/>
      <w:lvlText w:val=""/>
      <w:lvlJc w:val="left"/>
      <w:pPr>
        <w:ind w:left="2160" w:hanging="360"/>
      </w:pPr>
      <w:rPr>
        <w:rFonts w:ascii="Wingdings" w:hAnsi="Wingdings" w:hint="default"/>
      </w:rPr>
    </w:lvl>
    <w:lvl w:ilvl="3" w:tplc="C806492A" w:tentative="1">
      <w:start w:val="1"/>
      <w:numFmt w:val="bullet"/>
      <w:lvlText w:val=""/>
      <w:lvlJc w:val="left"/>
      <w:pPr>
        <w:ind w:left="2880" w:hanging="360"/>
      </w:pPr>
      <w:rPr>
        <w:rFonts w:ascii="Symbol" w:hAnsi="Symbol" w:hint="default"/>
      </w:rPr>
    </w:lvl>
    <w:lvl w:ilvl="4" w:tplc="3C1A1D36" w:tentative="1">
      <w:start w:val="1"/>
      <w:numFmt w:val="bullet"/>
      <w:lvlText w:val="o"/>
      <w:lvlJc w:val="left"/>
      <w:pPr>
        <w:ind w:left="3600" w:hanging="360"/>
      </w:pPr>
      <w:rPr>
        <w:rFonts w:ascii="Courier New" w:hAnsi="Courier New" w:cs="Courier New" w:hint="default"/>
      </w:rPr>
    </w:lvl>
    <w:lvl w:ilvl="5" w:tplc="0944B48A" w:tentative="1">
      <w:start w:val="1"/>
      <w:numFmt w:val="bullet"/>
      <w:lvlText w:val=""/>
      <w:lvlJc w:val="left"/>
      <w:pPr>
        <w:ind w:left="4320" w:hanging="360"/>
      </w:pPr>
      <w:rPr>
        <w:rFonts w:ascii="Wingdings" w:hAnsi="Wingdings" w:hint="default"/>
      </w:rPr>
    </w:lvl>
    <w:lvl w:ilvl="6" w:tplc="AFEC6964" w:tentative="1">
      <w:start w:val="1"/>
      <w:numFmt w:val="bullet"/>
      <w:lvlText w:val=""/>
      <w:lvlJc w:val="left"/>
      <w:pPr>
        <w:ind w:left="5040" w:hanging="360"/>
      </w:pPr>
      <w:rPr>
        <w:rFonts w:ascii="Symbol" w:hAnsi="Symbol" w:hint="default"/>
      </w:rPr>
    </w:lvl>
    <w:lvl w:ilvl="7" w:tplc="83FCD258" w:tentative="1">
      <w:start w:val="1"/>
      <w:numFmt w:val="bullet"/>
      <w:lvlText w:val="o"/>
      <w:lvlJc w:val="left"/>
      <w:pPr>
        <w:ind w:left="5760" w:hanging="360"/>
      </w:pPr>
      <w:rPr>
        <w:rFonts w:ascii="Courier New" w:hAnsi="Courier New" w:cs="Courier New" w:hint="default"/>
      </w:rPr>
    </w:lvl>
    <w:lvl w:ilvl="8" w:tplc="1C22CA06" w:tentative="1">
      <w:start w:val="1"/>
      <w:numFmt w:val="bullet"/>
      <w:lvlText w:val=""/>
      <w:lvlJc w:val="left"/>
      <w:pPr>
        <w:ind w:left="6480" w:hanging="360"/>
      </w:pPr>
      <w:rPr>
        <w:rFonts w:ascii="Wingdings" w:hAnsi="Wingdings" w:hint="default"/>
      </w:rPr>
    </w:lvl>
  </w:abstractNum>
  <w:abstractNum w:abstractNumId="28" w15:restartNumberingAfterBreak="0">
    <w:nsid w:val="44D67987"/>
    <w:multiLevelType w:val="hybridMultilevel"/>
    <w:tmpl w:val="EBD6FB80"/>
    <w:lvl w:ilvl="0" w:tplc="EF64952E">
      <w:start w:val="1"/>
      <w:numFmt w:val="bullet"/>
      <w:pStyle w:val="subclause1Bullet2"/>
      <w:lvlText w:val=""/>
      <w:lvlJc w:val="left"/>
      <w:pPr>
        <w:ind w:left="1440" w:hanging="360"/>
      </w:pPr>
      <w:rPr>
        <w:rFonts w:ascii="Symbol" w:hAnsi="Symbol" w:hint="default"/>
        <w:color w:val="000000"/>
      </w:rPr>
    </w:lvl>
    <w:lvl w:ilvl="1" w:tplc="AEDCA426" w:tentative="1">
      <w:start w:val="1"/>
      <w:numFmt w:val="bullet"/>
      <w:lvlText w:val="o"/>
      <w:lvlJc w:val="left"/>
      <w:pPr>
        <w:ind w:left="2160" w:hanging="360"/>
      </w:pPr>
      <w:rPr>
        <w:rFonts w:ascii="Courier New" w:hAnsi="Courier New" w:cs="Courier New" w:hint="default"/>
      </w:rPr>
    </w:lvl>
    <w:lvl w:ilvl="2" w:tplc="E8521AB4" w:tentative="1">
      <w:start w:val="1"/>
      <w:numFmt w:val="bullet"/>
      <w:lvlText w:val=""/>
      <w:lvlJc w:val="left"/>
      <w:pPr>
        <w:ind w:left="2880" w:hanging="360"/>
      </w:pPr>
      <w:rPr>
        <w:rFonts w:ascii="Wingdings" w:hAnsi="Wingdings" w:hint="default"/>
      </w:rPr>
    </w:lvl>
    <w:lvl w:ilvl="3" w:tplc="AA261C6C" w:tentative="1">
      <w:start w:val="1"/>
      <w:numFmt w:val="bullet"/>
      <w:lvlText w:val=""/>
      <w:lvlJc w:val="left"/>
      <w:pPr>
        <w:ind w:left="3600" w:hanging="360"/>
      </w:pPr>
      <w:rPr>
        <w:rFonts w:ascii="Symbol" w:hAnsi="Symbol" w:hint="default"/>
      </w:rPr>
    </w:lvl>
    <w:lvl w:ilvl="4" w:tplc="AECAE61A" w:tentative="1">
      <w:start w:val="1"/>
      <w:numFmt w:val="bullet"/>
      <w:lvlText w:val="o"/>
      <w:lvlJc w:val="left"/>
      <w:pPr>
        <w:ind w:left="4320" w:hanging="360"/>
      </w:pPr>
      <w:rPr>
        <w:rFonts w:ascii="Courier New" w:hAnsi="Courier New" w:cs="Courier New" w:hint="default"/>
      </w:rPr>
    </w:lvl>
    <w:lvl w:ilvl="5" w:tplc="F0A4715C" w:tentative="1">
      <w:start w:val="1"/>
      <w:numFmt w:val="bullet"/>
      <w:lvlText w:val=""/>
      <w:lvlJc w:val="left"/>
      <w:pPr>
        <w:ind w:left="5040" w:hanging="360"/>
      </w:pPr>
      <w:rPr>
        <w:rFonts w:ascii="Wingdings" w:hAnsi="Wingdings" w:hint="default"/>
      </w:rPr>
    </w:lvl>
    <w:lvl w:ilvl="6" w:tplc="3B965B98" w:tentative="1">
      <w:start w:val="1"/>
      <w:numFmt w:val="bullet"/>
      <w:lvlText w:val=""/>
      <w:lvlJc w:val="left"/>
      <w:pPr>
        <w:ind w:left="5760" w:hanging="360"/>
      </w:pPr>
      <w:rPr>
        <w:rFonts w:ascii="Symbol" w:hAnsi="Symbol" w:hint="default"/>
      </w:rPr>
    </w:lvl>
    <w:lvl w:ilvl="7" w:tplc="62084940" w:tentative="1">
      <w:start w:val="1"/>
      <w:numFmt w:val="bullet"/>
      <w:lvlText w:val="o"/>
      <w:lvlJc w:val="left"/>
      <w:pPr>
        <w:ind w:left="6480" w:hanging="360"/>
      </w:pPr>
      <w:rPr>
        <w:rFonts w:ascii="Courier New" w:hAnsi="Courier New" w:cs="Courier New" w:hint="default"/>
      </w:rPr>
    </w:lvl>
    <w:lvl w:ilvl="8" w:tplc="A9A80956" w:tentative="1">
      <w:start w:val="1"/>
      <w:numFmt w:val="bullet"/>
      <w:lvlText w:val=""/>
      <w:lvlJc w:val="left"/>
      <w:pPr>
        <w:ind w:left="7200" w:hanging="360"/>
      </w:pPr>
      <w:rPr>
        <w:rFonts w:ascii="Wingdings" w:hAnsi="Wingdings" w:hint="default"/>
      </w:rPr>
    </w:lvl>
  </w:abstractNum>
  <w:abstractNum w:abstractNumId="29" w15:restartNumberingAfterBreak="0">
    <w:nsid w:val="44E96665"/>
    <w:multiLevelType w:val="hybridMultilevel"/>
    <w:tmpl w:val="EF1E142A"/>
    <w:lvl w:ilvl="0" w:tplc="1982FB02">
      <w:start w:val="1"/>
      <w:numFmt w:val="bullet"/>
      <w:pStyle w:val="subclause3Bullet1"/>
      <w:lvlText w:val=""/>
      <w:lvlJc w:val="left"/>
      <w:pPr>
        <w:ind w:left="2988" w:hanging="360"/>
      </w:pPr>
      <w:rPr>
        <w:rFonts w:ascii="Symbol" w:hAnsi="Symbol" w:hint="default"/>
        <w:color w:val="000000"/>
      </w:rPr>
    </w:lvl>
    <w:lvl w:ilvl="1" w:tplc="18887904" w:tentative="1">
      <w:start w:val="1"/>
      <w:numFmt w:val="bullet"/>
      <w:lvlText w:val="o"/>
      <w:lvlJc w:val="left"/>
      <w:pPr>
        <w:ind w:left="3708" w:hanging="360"/>
      </w:pPr>
      <w:rPr>
        <w:rFonts w:ascii="Courier New" w:hAnsi="Courier New" w:cs="Courier New" w:hint="default"/>
      </w:rPr>
    </w:lvl>
    <w:lvl w:ilvl="2" w:tplc="EA8489D0" w:tentative="1">
      <w:start w:val="1"/>
      <w:numFmt w:val="bullet"/>
      <w:lvlText w:val=""/>
      <w:lvlJc w:val="left"/>
      <w:pPr>
        <w:ind w:left="4428" w:hanging="360"/>
      </w:pPr>
      <w:rPr>
        <w:rFonts w:ascii="Wingdings" w:hAnsi="Wingdings" w:hint="default"/>
      </w:rPr>
    </w:lvl>
    <w:lvl w:ilvl="3" w:tplc="625256EE" w:tentative="1">
      <w:start w:val="1"/>
      <w:numFmt w:val="bullet"/>
      <w:lvlText w:val=""/>
      <w:lvlJc w:val="left"/>
      <w:pPr>
        <w:ind w:left="5148" w:hanging="360"/>
      </w:pPr>
      <w:rPr>
        <w:rFonts w:ascii="Symbol" w:hAnsi="Symbol" w:hint="default"/>
      </w:rPr>
    </w:lvl>
    <w:lvl w:ilvl="4" w:tplc="6E4E1568" w:tentative="1">
      <w:start w:val="1"/>
      <w:numFmt w:val="bullet"/>
      <w:lvlText w:val="o"/>
      <w:lvlJc w:val="left"/>
      <w:pPr>
        <w:ind w:left="5868" w:hanging="360"/>
      </w:pPr>
      <w:rPr>
        <w:rFonts w:ascii="Courier New" w:hAnsi="Courier New" w:cs="Courier New" w:hint="default"/>
      </w:rPr>
    </w:lvl>
    <w:lvl w:ilvl="5" w:tplc="878203C0" w:tentative="1">
      <w:start w:val="1"/>
      <w:numFmt w:val="bullet"/>
      <w:lvlText w:val=""/>
      <w:lvlJc w:val="left"/>
      <w:pPr>
        <w:ind w:left="6588" w:hanging="360"/>
      </w:pPr>
      <w:rPr>
        <w:rFonts w:ascii="Wingdings" w:hAnsi="Wingdings" w:hint="default"/>
      </w:rPr>
    </w:lvl>
    <w:lvl w:ilvl="6" w:tplc="514E8F8E" w:tentative="1">
      <w:start w:val="1"/>
      <w:numFmt w:val="bullet"/>
      <w:lvlText w:val=""/>
      <w:lvlJc w:val="left"/>
      <w:pPr>
        <w:ind w:left="7308" w:hanging="360"/>
      </w:pPr>
      <w:rPr>
        <w:rFonts w:ascii="Symbol" w:hAnsi="Symbol" w:hint="default"/>
      </w:rPr>
    </w:lvl>
    <w:lvl w:ilvl="7" w:tplc="DC6227B4" w:tentative="1">
      <w:start w:val="1"/>
      <w:numFmt w:val="bullet"/>
      <w:lvlText w:val="o"/>
      <w:lvlJc w:val="left"/>
      <w:pPr>
        <w:ind w:left="8028" w:hanging="360"/>
      </w:pPr>
      <w:rPr>
        <w:rFonts w:ascii="Courier New" w:hAnsi="Courier New" w:cs="Courier New" w:hint="default"/>
      </w:rPr>
    </w:lvl>
    <w:lvl w:ilvl="8" w:tplc="A3F6BA00" w:tentative="1">
      <w:start w:val="1"/>
      <w:numFmt w:val="bullet"/>
      <w:lvlText w:val=""/>
      <w:lvlJc w:val="left"/>
      <w:pPr>
        <w:ind w:left="8748" w:hanging="360"/>
      </w:pPr>
      <w:rPr>
        <w:rFonts w:ascii="Wingdings" w:hAnsi="Wingdings" w:hint="default"/>
      </w:rPr>
    </w:lvl>
  </w:abstractNum>
  <w:abstractNum w:abstractNumId="30" w15:restartNumberingAfterBreak="0">
    <w:nsid w:val="46AC04C6"/>
    <w:multiLevelType w:val="hybridMultilevel"/>
    <w:tmpl w:val="E6C47700"/>
    <w:lvl w:ilvl="0" w:tplc="7BB8C9E8">
      <w:start w:val="1"/>
      <w:numFmt w:val="bullet"/>
      <w:pStyle w:val="subclause2Bullet1"/>
      <w:lvlText w:val=""/>
      <w:lvlJc w:val="left"/>
      <w:pPr>
        <w:ind w:left="2279" w:hanging="360"/>
      </w:pPr>
      <w:rPr>
        <w:rFonts w:ascii="Symbol" w:hAnsi="Symbol" w:hint="default"/>
        <w:color w:val="000000"/>
      </w:rPr>
    </w:lvl>
    <w:lvl w:ilvl="1" w:tplc="61C05DEA" w:tentative="1">
      <w:start w:val="1"/>
      <w:numFmt w:val="bullet"/>
      <w:lvlText w:val="o"/>
      <w:lvlJc w:val="left"/>
      <w:pPr>
        <w:ind w:left="2999" w:hanging="360"/>
      </w:pPr>
      <w:rPr>
        <w:rFonts w:ascii="Courier New" w:hAnsi="Courier New" w:cs="Courier New" w:hint="default"/>
      </w:rPr>
    </w:lvl>
    <w:lvl w:ilvl="2" w:tplc="54EC735C" w:tentative="1">
      <w:start w:val="1"/>
      <w:numFmt w:val="bullet"/>
      <w:lvlText w:val=""/>
      <w:lvlJc w:val="left"/>
      <w:pPr>
        <w:ind w:left="3719" w:hanging="360"/>
      </w:pPr>
      <w:rPr>
        <w:rFonts w:ascii="Wingdings" w:hAnsi="Wingdings" w:hint="default"/>
      </w:rPr>
    </w:lvl>
    <w:lvl w:ilvl="3" w:tplc="08ACEB76" w:tentative="1">
      <w:start w:val="1"/>
      <w:numFmt w:val="bullet"/>
      <w:lvlText w:val=""/>
      <w:lvlJc w:val="left"/>
      <w:pPr>
        <w:ind w:left="4439" w:hanging="360"/>
      </w:pPr>
      <w:rPr>
        <w:rFonts w:ascii="Symbol" w:hAnsi="Symbol" w:hint="default"/>
      </w:rPr>
    </w:lvl>
    <w:lvl w:ilvl="4" w:tplc="96E2C1E6" w:tentative="1">
      <w:start w:val="1"/>
      <w:numFmt w:val="bullet"/>
      <w:lvlText w:val="o"/>
      <w:lvlJc w:val="left"/>
      <w:pPr>
        <w:ind w:left="5159" w:hanging="360"/>
      </w:pPr>
      <w:rPr>
        <w:rFonts w:ascii="Courier New" w:hAnsi="Courier New" w:cs="Courier New" w:hint="default"/>
      </w:rPr>
    </w:lvl>
    <w:lvl w:ilvl="5" w:tplc="11BEF414" w:tentative="1">
      <w:start w:val="1"/>
      <w:numFmt w:val="bullet"/>
      <w:lvlText w:val=""/>
      <w:lvlJc w:val="left"/>
      <w:pPr>
        <w:ind w:left="5879" w:hanging="360"/>
      </w:pPr>
      <w:rPr>
        <w:rFonts w:ascii="Wingdings" w:hAnsi="Wingdings" w:hint="default"/>
      </w:rPr>
    </w:lvl>
    <w:lvl w:ilvl="6" w:tplc="4248285E" w:tentative="1">
      <w:start w:val="1"/>
      <w:numFmt w:val="bullet"/>
      <w:lvlText w:val=""/>
      <w:lvlJc w:val="left"/>
      <w:pPr>
        <w:ind w:left="6599" w:hanging="360"/>
      </w:pPr>
      <w:rPr>
        <w:rFonts w:ascii="Symbol" w:hAnsi="Symbol" w:hint="default"/>
      </w:rPr>
    </w:lvl>
    <w:lvl w:ilvl="7" w:tplc="25860572" w:tentative="1">
      <w:start w:val="1"/>
      <w:numFmt w:val="bullet"/>
      <w:lvlText w:val="o"/>
      <w:lvlJc w:val="left"/>
      <w:pPr>
        <w:ind w:left="7319" w:hanging="360"/>
      </w:pPr>
      <w:rPr>
        <w:rFonts w:ascii="Courier New" w:hAnsi="Courier New" w:cs="Courier New" w:hint="default"/>
      </w:rPr>
    </w:lvl>
    <w:lvl w:ilvl="8" w:tplc="2076C744" w:tentative="1">
      <w:start w:val="1"/>
      <w:numFmt w:val="bullet"/>
      <w:lvlText w:val=""/>
      <w:lvlJc w:val="left"/>
      <w:pPr>
        <w:ind w:left="8039" w:hanging="360"/>
      </w:pPr>
      <w:rPr>
        <w:rFonts w:ascii="Wingdings" w:hAnsi="Wingdings" w:hint="default"/>
      </w:rPr>
    </w:lvl>
  </w:abstractNum>
  <w:abstractNum w:abstractNumId="31" w15:restartNumberingAfterBreak="0">
    <w:nsid w:val="47F42723"/>
    <w:multiLevelType w:val="hybridMultilevel"/>
    <w:tmpl w:val="C5A02EE6"/>
    <w:lvl w:ilvl="0" w:tplc="D5CA31DE">
      <w:start w:val="1"/>
      <w:numFmt w:val="bullet"/>
      <w:pStyle w:val="subclause1Bullet1"/>
      <w:lvlText w:val=""/>
      <w:lvlJc w:val="left"/>
      <w:pPr>
        <w:ind w:left="1440" w:hanging="360"/>
      </w:pPr>
      <w:rPr>
        <w:rFonts w:ascii="Symbol" w:hAnsi="Symbol" w:hint="default"/>
        <w:color w:val="000000"/>
      </w:rPr>
    </w:lvl>
    <w:lvl w:ilvl="1" w:tplc="634A67B2" w:tentative="1">
      <w:start w:val="1"/>
      <w:numFmt w:val="bullet"/>
      <w:lvlText w:val="o"/>
      <w:lvlJc w:val="left"/>
      <w:pPr>
        <w:ind w:left="2160" w:hanging="360"/>
      </w:pPr>
      <w:rPr>
        <w:rFonts w:ascii="Courier New" w:hAnsi="Courier New" w:cs="Courier New" w:hint="default"/>
      </w:rPr>
    </w:lvl>
    <w:lvl w:ilvl="2" w:tplc="81A0372A" w:tentative="1">
      <w:start w:val="1"/>
      <w:numFmt w:val="bullet"/>
      <w:lvlText w:val=""/>
      <w:lvlJc w:val="left"/>
      <w:pPr>
        <w:ind w:left="2880" w:hanging="360"/>
      </w:pPr>
      <w:rPr>
        <w:rFonts w:ascii="Wingdings" w:hAnsi="Wingdings" w:hint="default"/>
      </w:rPr>
    </w:lvl>
    <w:lvl w:ilvl="3" w:tplc="907ED2A8" w:tentative="1">
      <w:start w:val="1"/>
      <w:numFmt w:val="bullet"/>
      <w:lvlText w:val=""/>
      <w:lvlJc w:val="left"/>
      <w:pPr>
        <w:ind w:left="3600" w:hanging="360"/>
      </w:pPr>
      <w:rPr>
        <w:rFonts w:ascii="Symbol" w:hAnsi="Symbol" w:hint="default"/>
      </w:rPr>
    </w:lvl>
    <w:lvl w:ilvl="4" w:tplc="38D0EEB8" w:tentative="1">
      <w:start w:val="1"/>
      <w:numFmt w:val="bullet"/>
      <w:lvlText w:val="o"/>
      <w:lvlJc w:val="left"/>
      <w:pPr>
        <w:ind w:left="4320" w:hanging="360"/>
      </w:pPr>
      <w:rPr>
        <w:rFonts w:ascii="Courier New" w:hAnsi="Courier New" w:cs="Courier New" w:hint="default"/>
      </w:rPr>
    </w:lvl>
    <w:lvl w:ilvl="5" w:tplc="B99C3E66" w:tentative="1">
      <w:start w:val="1"/>
      <w:numFmt w:val="bullet"/>
      <w:lvlText w:val=""/>
      <w:lvlJc w:val="left"/>
      <w:pPr>
        <w:ind w:left="5040" w:hanging="360"/>
      </w:pPr>
      <w:rPr>
        <w:rFonts w:ascii="Wingdings" w:hAnsi="Wingdings" w:hint="default"/>
      </w:rPr>
    </w:lvl>
    <w:lvl w:ilvl="6" w:tplc="5FD62C3E" w:tentative="1">
      <w:start w:val="1"/>
      <w:numFmt w:val="bullet"/>
      <w:lvlText w:val=""/>
      <w:lvlJc w:val="left"/>
      <w:pPr>
        <w:ind w:left="5760" w:hanging="360"/>
      </w:pPr>
      <w:rPr>
        <w:rFonts w:ascii="Symbol" w:hAnsi="Symbol" w:hint="default"/>
      </w:rPr>
    </w:lvl>
    <w:lvl w:ilvl="7" w:tplc="C32288A6" w:tentative="1">
      <w:start w:val="1"/>
      <w:numFmt w:val="bullet"/>
      <w:lvlText w:val="o"/>
      <w:lvlJc w:val="left"/>
      <w:pPr>
        <w:ind w:left="6480" w:hanging="360"/>
      </w:pPr>
      <w:rPr>
        <w:rFonts w:ascii="Courier New" w:hAnsi="Courier New" w:cs="Courier New" w:hint="default"/>
      </w:rPr>
    </w:lvl>
    <w:lvl w:ilvl="8" w:tplc="D6843C08" w:tentative="1">
      <w:start w:val="1"/>
      <w:numFmt w:val="bullet"/>
      <w:lvlText w:val=""/>
      <w:lvlJc w:val="left"/>
      <w:pPr>
        <w:ind w:left="7200" w:hanging="360"/>
      </w:pPr>
      <w:rPr>
        <w:rFonts w:ascii="Wingdings" w:hAnsi="Wingdings" w:hint="default"/>
      </w:rPr>
    </w:lvl>
  </w:abstractNum>
  <w:abstractNum w:abstractNumId="32" w15:restartNumberingAfterBreak="0">
    <w:nsid w:val="55CB0AF0"/>
    <w:multiLevelType w:val="hybridMultilevel"/>
    <w:tmpl w:val="EB98B43A"/>
    <w:lvl w:ilvl="0" w:tplc="C8D4FC58">
      <w:start w:val="1"/>
      <w:numFmt w:val="decimal"/>
      <w:pStyle w:val="LongQuestionPara"/>
      <w:lvlText w:val="%1."/>
      <w:lvlJc w:val="left"/>
      <w:pPr>
        <w:ind w:left="360" w:hanging="360"/>
      </w:pPr>
      <w:rPr>
        <w:rFonts w:hint="default"/>
        <w:b/>
        <w:i w:val="0"/>
        <w:color w:val="000000"/>
        <w:sz w:val="24"/>
      </w:rPr>
    </w:lvl>
    <w:lvl w:ilvl="1" w:tplc="61D0D8B4" w:tentative="1">
      <w:start w:val="1"/>
      <w:numFmt w:val="lowerLetter"/>
      <w:lvlText w:val="%2."/>
      <w:lvlJc w:val="left"/>
      <w:pPr>
        <w:ind w:left="1440" w:hanging="360"/>
      </w:pPr>
    </w:lvl>
    <w:lvl w:ilvl="2" w:tplc="0902148A" w:tentative="1">
      <w:start w:val="1"/>
      <w:numFmt w:val="lowerRoman"/>
      <w:lvlText w:val="%3."/>
      <w:lvlJc w:val="right"/>
      <w:pPr>
        <w:ind w:left="2160" w:hanging="180"/>
      </w:pPr>
    </w:lvl>
    <w:lvl w:ilvl="3" w:tplc="593A72D8" w:tentative="1">
      <w:start w:val="1"/>
      <w:numFmt w:val="decimal"/>
      <w:lvlText w:val="%4."/>
      <w:lvlJc w:val="left"/>
      <w:pPr>
        <w:ind w:left="2880" w:hanging="360"/>
      </w:pPr>
    </w:lvl>
    <w:lvl w:ilvl="4" w:tplc="4E742BA8" w:tentative="1">
      <w:start w:val="1"/>
      <w:numFmt w:val="lowerLetter"/>
      <w:lvlText w:val="%5."/>
      <w:lvlJc w:val="left"/>
      <w:pPr>
        <w:ind w:left="3600" w:hanging="360"/>
      </w:pPr>
    </w:lvl>
    <w:lvl w:ilvl="5" w:tplc="5300A964" w:tentative="1">
      <w:start w:val="1"/>
      <w:numFmt w:val="lowerRoman"/>
      <w:lvlText w:val="%6."/>
      <w:lvlJc w:val="right"/>
      <w:pPr>
        <w:ind w:left="4320" w:hanging="180"/>
      </w:pPr>
    </w:lvl>
    <w:lvl w:ilvl="6" w:tplc="E3B0842E" w:tentative="1">
      <w:start w:val="1"/>
      <w:numFmt w:val="decimal"/>
      <w:lvlText w:val="%7."/>
      <w:lvlJc w:val="left"/>
      <w:pPr>
        <w:ind w:left="5040" w:hanging="360"/>
      </w:pPr>
    </w:lvl>
    <w:lvl w:ilvl="7" w:tplc="648838B4" w:tentative="1">
      <w:start w:val="1"/>
      <w:numFmt w:val="lowerLetter"/>
      <w:lvlText w:val="%8."/>
      <w:lvlJc w:val="left"/>
      <w:pPr>
        <w:ind w:left="5760" w:hanging="360"/>
      </w:pPr>
    </w:lvl>
    <w:lvl w:ilvl="8" w:tplc="AE48873A" w:tentative="1">
      <w:start w:val="1"/>
      <w:numFmt w:val="lowerRoman"/>
      <w:lvlText w:val="%9."/>
      <w:lvlJc w:val="right"/>
      <w:pPr>
        <w:ind w:left="6480" w:hanging="180"/>
      </w:pPr>
    </w:lvl>
  </w:abstractNum>
  <w:abstractNum w:abstractNumId="33"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rPr>
        <w:color w:val="000000"/>
      </w:r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4" w15:restartNumberingAfterBreak="0">
    <w:nsid w:val="5D206610"/>
    <w:multiLevelType w:val="hybridMultilevel"/>
    <w:tmpl w:val="31700046"/>
    <w:lvl w:ilvl="0" w:tplc="0D6C560C">
      <w:start w:val="1"/>
      <w:numFmt w:val="lowerLetter"/>
      <w:lvlText w:val="(%1)"/>
      <w:lvlJc w:val="left"/>
      <w:pPr>
        <w:ind w:left="1440" w:hanging="360"/>
      </w:pPr>
      <w:rPr>
        <w:rFonts w:hint="default"/>
        <w:color w:val="000000"/>
      </w:rPr>
    </w:lvl>
    <w:lvl w:ilvl="1" w:tplc="714A98A4" w:tentative="1">
      <w:start w:val="1"/>
      <w:numFmt w:val="lowerLetter"/>
      <w:lvlText w:val="%2."/>
      <w:lvlJc w:val="left"/>
      <w:pPr>
        <w:ind w:left="2160" w:hanging="360"/>
      </w:pPr>
    </w:lvl>
    <w:lvl w:ilvl="2" w:tplc="603C6A74" w:tentative="1">
      <w:start w:val="1"/>
      <w:numFmt w:val="lowerRoman"/>
      <w:lvlText w:val="%3."/>
      <w:lvlJc w:val="right"/>
      <w:pPr>
        <w:ind w:left="2880" w:hanging="180"/>
      </w:pPr>
    </w:lvl>
    <w:lvl w:ilvl="3" w:tplc="75DE5204" w:tentative="1">
      <w:start w:val="1"/>
      <w:numFmt w:val="decimal"/>
      <w:lvlText w:val="%4."/>
      <w:lvlJc w:val="left"/>
      <w:pPr>
        <w:ind w:left="3600" w:hanging="360"/>
      </w:pPr>
    </w:lvl>
    <w:lvl w:ilvl="4" w:tplc="F58A69D2" w:tentative="1">
      <w:start w:val="1"/>
      <w:numFmt w:val="lowerLetter"/>
      <w:lvlText w:val="%5."/>
      <w:lvlJc w:val="left"/>
      <w:pPr>
        <w:ind w:left="4320" w:hanging="360"/>
      </w:pPr>
    </w:lvl>
    <w:lvl w:ilvl="5" w:tplc="FA9E148A" w:tentative="1">
      <w:start w:val="1"/>
      <w:numFmt w:val="lowerRoman"/>
      <w:lvlText w:val="%6."/>
      <w:lvlJc w:val="right"/>
      <w:pPr>
        <w:ind w:left="5040" w:hanging="180"/>
      </w:pPr>
    </w:lvl>
    <w:lvl w:ilvl="6" w:tplc="61F439EE" w:tentative="1">
      <w:start w:val="1"/>
      <w:numFmt w:val="decimal"/>
      <w:lvlText w:val="%7."/>
      <w:lvlJc w:val="left"/>
      <w:pPr>
        <w:ind w:left="5760" w:hanging="360"/>
      </w:pPr>
    </w:lvl>
    <w:lvl w:ilvl="7" w:tplc="E18A0310" w:tentative="1">
      <w:start w:val="1"/>
      <w:numFmt w:val="lowerLetter"/>
      <w:lvlText w:val="%8."/>
      <w:lvlJc w:val="left"/>
      <w:pPr>
        <w:ind w:left="6480" w:hanging="360"/>
      </w:pPr>
    </w:lvl>
    <w:lvl w:ilvl="8" w:tplc="BB2C1470" w:tentative="1">
      <w:start w:val="1"/>
      <w:numFmt w:val="lowerRoman"/>
      <w:lvlText w:val="%9."/>
      <w:lvlJc w:val="right"/>
      <w:pPr>
        <w:ind w:left="7200" w:hanging="180"/>
      </w:pPr>
    </w:lvl>
  </w:abstractNum>
  <w:abstractNum w:abstractNumId="35" w15:restartNumberingAfterBreak="0">
    <w:nsid w:val="61071422"/>
    <w:multiLevelType w:val="hybridMultilevel"/>
    <w:tmpl w:val="59B858D8"/>
    <w:lvl w:ilvl="0" w:tplc="3F7A9BF4">
      <w:start w:val="1"/>
      <w:numFmt w:val="bullet"/>
      <w:pStyle w:val="ClauseBullet1"/>
      <w:lvlText w:val=""/>
      <w:lvlJc w:val="left"/>
      <w:pPr>
        <w:ind w:left="1080" w:hanging="360"/>
      </w:pPr>
      <w:rPr>
        <w:rFonts w:ascii="Symbol" w:hAnsi="Symbol" w:hint="default"/>
        <w:color w:val="000000"/>
      </w:rPr>
    </w:lvl>
    <w:lvl w:ilvl="1" w:tplc="472A66C2" w:tentative="1">
      <w:start w:val="1"/>
      <w:numFmt w:val="bullet"/>
      <w:lvlText w:val="o"/>
      <w:lvlJc w:val="left"/>
      <w:pPr>
        <w:ind w:left="1800" w:hanging="360"/>
      </w:pPr>
      <w:rPr>
        <w:rFonts w:ascii="Courier New" w:hAnsi="Courier New" w:cs="Courier New" w:hint="default"/>
      </w:rPr>
    </w:lvl>
    <w:lvl w:ilvl="2" w:tplc="A31AC5DC" w:tentative="1">
      <w:start w:val="1"/>
      <w:numFmt w:val="bullet"/>
      <w:lvlText w:val=""/>
      <w:lvlJc w:val="left"/>
      <w:pPr>
        <w:ind w:left="2520" w:hanging="360"/>
      </w:pPr>
      <w:rPr>
        <w:rFonts w:ascii="Wingdings" w:hAnsi="Wingdings" w:hint="default"/>
      </w:rPr>
    </w:lvl>
    <w:lvl w:ilvl="3" w:tplc="206E63C4" w:tentative="1">
      <w:start w:val="1"/>
      <w:numFmt w:val="bullet"/>
      <w:lvlText w:val=""/>
      <w:lvlJc w:val="left"/>
      <w:pPr>
        <w:ind w:left="3240" w:hanging="360"/>
      </w:pPr>
      <w:rPr>
        <w:rFonts w:ascii="Symbol" w:hAnsi="Symbol" w:hint="default"/>
      </w:rPr>
    </w:lvl>
    <w:lvl w:ilvl="4" w:tplc="BCA0FC5E" w:tentative="1">
      <w:start w:val="1"/>
      <w:numFmt w:val="bullet"/>
      <w:lvlText w:val="o"/>
      <w:lvlJc w:val="left"/>
      <w:pPr>
        <w:ind w:left="3960" w:hanging="360"/>
      </w:pPr>
      <w:rPr>
        <w:rFonts w:ascii="Courier New" w:hAnsi="Courier New" w:cs="Courier New" w:hint="default"/>
      </w:rPr>
    </w:lvl>
    <w:lvl w:ilvl="5" w:tplc="3DD69B38" w:tentative="1">
      <w:start w:val="1"/>
      <w:numFmt w:val="bullet"/>
      <w:lvlText w:val=""/>
      <w:lvlJc w:val="left"/>
      <w:pPr>
        <w:ind w:left="4680" w:hanging="360"/>
      </w:pPr>
      <w:rPr>
        <w:rFonts w:ascii="Wingdings" w:hAnsi="Wingdings" w:hint="default"/>
      </w:rPr>
    </w:lvl>
    <w:lvl w:ilvl="6" w:tplc="430203FC" w:tentative="1">
      <w:start w:val="1"/>
      <w:numFmt w:val="bullet"/>
      <w:lvlText w:val=""/>
      <w:lvlJc w:val="left"/>
      <w:pPr>
        <w:ind w:left="5400" w:hanging="360"/>
      </w:pPr>
      <w:rPr>
        <w:rFonts w:ascii="Symbol" w:hAnsi="Symbol" w:hint="default"/>
      </w:rPr>
    </w:lvl>
    <w:lvl w:ilvl="7" w:tplc="223CA0CE" w:tentative="1">
      <w:start w:val="1"/>
      <w:numFmt w:val="bullet"/>
      <w:lvlText w:val="o"/>
      <w:lvlJc w:val="left"/>
      <w:pPr>
        <w:ind w:left="6120" w:hanging="360"/>
      </w:pPr>
      <w:rPr>
        <w:rFonts w:ascii="Courier New" w:hAnsi="Courier New" w:cs="Courier New" w:hint="default"/>
      </w:rPr>
    </w:lvl>
    <w:lvl w:ilvl="8" w:tplc="8918EC1A" w:tentative="1">
      <w:start w:val="1"/>
      <w:numFmt w:val="bullet"/>
      <w:lvlText w:val=""/>
      <w:lvlJc w:val="left"/>
      <w:pPr>
        <w:ind w:left="6840" w:hanging="360"/>
      </w:pPr>
      <w:rPr>
        <w:rFonts w:ascii="Wingdings" w:hAnsi="Wingdings" w:hint="default"/>
      </w:rPr>
    </w:lvl>
  </w:abstractNum>
  <w:abstractNum w:abstractNumId="36" w15:restartNumberingAfterBreak="0">
    <w:nsid w:val="642371CD"/>
    <w:multiLevelType w:val="hybridMultilevel"/>
    <w:tmpl w:val="3B76A654"/>
    <w:lvl w:ilvl="0" w:tplc="7622960E">
      <w:start w:val="1"/>
      <w:numFmt w:val="bullet"/>
      <w:pStyle w:val="subclause3Bullet2"/>
      <w:lvlText w:val=""/>
      <w:lvlJc w:val="left"/>
      <w:pPr>
        <w:ind w:left="3748" w:hanging="360"/>
      </w:pPr>
      <w:rPr>
        <w:rFonts w:ascii="Symbol" w:hAnsi="Symbol" w:hint="default"/>
        <w:color w:val="000000"/>
      </w:rPr>
    </w:lvl>
    <w:lvl w:ilvl="1" w:tplc="041CF704" w:tentative="1">
      <w:start w:val="1"/>
      <w:numFmt w:val="bullet"/>
      <w:lvlText w:val="o"/>
      <w:lvlJc w:val="left"/>
      <w:pPr>
        <w:ind w:left="4468" w:hanging="360"/>
      </w:pPr>
      <w:rPr>
        <w:rFonts w:ascii="Courier New" w:hAnsi="Courier New" w:cs="Courier New" w:hint="default"/>
      </w:rPr>
    </w:lvl>
    <w:lvl w:ilvl="2" w:tplc="E1F0625A" w:tentative="1">
      <w:start w:val="1"/>
      <w:numFmt w:val="bullet"/>
      <w:lvlText w:val=""/>
      <w:lvlJc w:val="left"/>
      <w:pPr>
        <w:ind w:left="5188" w:hanging="360"/>
      </w:pPr>
      <w:rPr>
        <w:rFonts w:ascii="Wingdings" w:hAnsi="Wingdings" w:hint="default"/>
      </w:rPr>
    </w:lvl>
    <w:lvl w:ilvl="3" w:tplc="B5CE54E4" w:tentative="1">
      <w:start w:val="1"/>
      <w:numFmt w:val="bullet"/>
      <w:lvlText w:val=""/>
      <w:lvlJc w:val="left"/>
      <w:pPr>
        <w:ind w:left="5908" w:hanging="360"/>
      </w:pPr>
      <w:rPr>
        <w:rFonts w:ascii="Symbol" w:hAnsi="Symbol" w:hint="default"/>
      </w:rPr>
    </w:lvl>
    <w:lvl w:ilvl="4" w:tplc="17185E68" w:tentative="1">
      <w:start w:val="1"/>
      <w:numFmt w:val="bullet"/>
      <w:lvlText w:val="o"/>
      <w:lvlJc w:val="left"/>
      <w:pPr>
        <w:ind w:left="6628" w:hanging="360"/>
      </w:pPr>
      <w:rPr>
        <w:rFonts w:ascii="Courier New" w:hAnsi="Courier New" w:cs="Courier New" w:hint="default"/>
      </w:rPr>
    </w:lvl>
    <w:lvl w:ilvl="5" w:tplc="1D268AFE" w:tentative="1">
      <w:start w:val="1"/>
      <w:numFmt w:val="bullet"/>
      <w:lvlText w:val=""/>
      <w:lvlJc w:val="left"/>
      <w:pPr>
        <w:ind w:left="7348" w:hanging="360"/>
      </w:pPr>
      <w:rPr>
        <w:rFonts w:ascii="Wingdings" w:hAnsi="Wingdings" w:hint="default"/>
      </w:rPr>
    </w:lvl>
    <w:lvl w:ilvl="6" w:tplc="B25274C4" w:tentative="1">
      <w:start w:val="1"/>
      <w:numFmt w:val="bullet"/>
      <w:lvlText w:val=""/>
      <w:lvlJc w:val="left"/>
      <w:pPr>
        <w:ind w:left="8068" w:hanging="360"/>
      </w:pPr>
      <w:rPr>
        <w:rFonts w:ascii="Symbol" w:hAnsi="Symbol" w:hint="default"/>
      </w:rPr>
    </w:lvl>
    <w:lvl w:ilvl="7" w:tplc="E9D8A952" w:tentative="1">
      <w:start w:val="1"/>
      <w:numFmt w:val="bullet"/>
      <w:lvlText w:val="o"/>
      <w:lvlJc w:val="left"/>
      <w:pPr>
        <w:ind w:left="8788" w:hanging="360"/>
      </w:pPr>
      <w:rPr>
        <w:rFonts w:ascii="Courier New" w:hAnsi="Courier New" w:cs="Courier New" w:hint="default"/>
      </w:rPr>
    </w:lvl>
    <w:lvl w:ilvl="8" w:tplc="57329E3C" w:tentative="1">
      <w:start w:val="1"/>
      <w:numFmt w:val="bullet"/>
      <w:lvlText w:val=""/>
      <w:lvlJc w:val="left"/>
      <w:pPr>
        <w:ind w:left="9508" w:hanging="360"/>
      </w:pPr>
      <w:rPr>
        <w:rFonts w:ascii="Wingdings" w:hAnsi="Wingdings" w:hint="default"/>
      </w:rPr>
    </w:lvl>
  </w:abstractNum>
  <w:abstractNum w:abstractNumId="37"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15:restartNumberingAfterBreak="0">
    <w:nsid w:val="6A14466B"/>
    <w:multiLevelType w:val="hybridMultilevel"/>
    <w:tmpl w:val="2402A666"/>
    <w:lvl w:ilvl="0" w:tplc="65724760">
      <w:start w:val="1"/>
      <w:numFmt w:val="bullet"/>
      <w:pStyle w:val="BulletList1"/>
      <w:lvlText w:val="·"/>
      <w:lvlJc w:val="left"/>
      <w:pPr>
        <w:tabs>
          <w:tab w:val="num" w:pos="360"/>
        </w:tabs>
        <w:ind w:left="360" w:hanging="360"/>
      </w:pPr>
      <w:rPr>
        <w:rFonts w:ascii="Symbol" w:hAnsi="Symbol" w:hint="default"/>
        <w:color w:val="000000"/>
      </w:rPr>
    </w:lvl>
    <w:lvl w:ilvl="1" w:tplc="B7EA210A" w:tentative="1">
      <w:start w:val="1"/>
      <w:numFmt w:val="bullet"/>
      <w:lvlText w:val="·"/>
      <w:lvlJc w:val="left"/>
      <w:pPr>
        <w:tabs>
          <w:tab w:val="num" w:pos="1440"/>
        </w:tabs>
        <w:ind w:left="1440" w:hanging="360"/>
      </w:pPr>
      <w:rPr>
        <w:rFonts w:ascii="Symbol" w:hAnsi="Symbol" w:hint="default"/>
      </w:rPr>
    </w:lvl>
    <w:lvl w:ilvl="2" w:tplc="001EB910" w:tentative="1">
      <w:start w:val="1"/>
      <w:numFmt w:val="bullet"/>
      <w:lvlText w:val="·"/>
      <w:lvlJc w:val="left"/>
      <w:pPr>
        <w:tabs>
          <w:tab w:val="num" w:pos="2160"/>
        </w:tabs>
        <w:ind w:left="2160" w:hanging="360"/>
      </w:pPr>
      <w:rPr>
        <w:rFonts w:ascii="Symbol" w:hAnsi="Symbol" w:hint="default"/>
      </w:rPr>
    </w:lvl>
    <w:lvl w:ilvl="3" w:tplc="16F0798A" w:tentative="1">
      <w:start w:val="1"/>
      <w:numFmt w:val="bullet"/>
      <w:lvlText w:val="·"/>
      <w:lvlJc w:val="left"/>
      <w:pPr>
        <w:tabs>
          <w:tab w:val="num" w:pos="2880"/>
        </w:tabs>
        <w:ind w:left="2880" w:hanging="360"/>
      </w:pPr>
      <w:rPr>
        <w:rFonts w:ascii="Symbol" w:hAnsi="Symbol" w:hint="default"/>
      </w:rPr>
    </w:lvl>
    <w:lvl w:ilvl="4" w:tplc="20F26166" w:tentative="1">
      <w:start w:val="1"/>
      <w:numFmt w:val="bullet"/>
      <w:lvlText w:val="o"/>
      <w:lvlJc w:val="left"/>
      <w:pPr>
        <w:tabs>
          <w:tab w:val="num" w:pos="3600"/>
        </w:tabs>
        <w:ind w:left="3600" w:hanging="360"/>
      </w:pPr>
      <w:rPr>
        <w:rFonts w:ascii="Courier New" w:hAnsi="Courier New" w:hint="default"/>
      </w:rPr>
    </w:lvl>
    <w:lvl w:ilvl="5" w:tplc="19D429EE" w:tentative="1">
      <w:start w:val="1"/>
      <w:numFmt w:val="bullet"/>
      <w:lvlText w:val="§"/>
      <w:lvlJc w:val="left"/>
      <w:pPr>
        <w:tabs>
          <w:tab w:val="num" w:pos="4320"/>
        </w:tabs>
        <w:ind w:left="4320" w:hanging="360"/>
      </w:pPr>
      <w:rPr>
        <w:rFonts w:ascii="Wingdings" w:hAnsi="Wingdings" w:hint="default"/>
      </w:rPr>
    </w:lvl>
    <w:lvl w:ilvl="6" w:tplc="D6B0CA1A" w:tentative="1">
      <w:start w:val="1"/>
      <w:numFmt w:val="bullet"/>
      <w:lvlText w:val="·"/>
      <w:lvlJc w:val="left"/>
      <w:pPr>
        <w:tabs>
          <w:tab w:val="num" w:pos="5040"/>
        </w:tabs>
        <w:ind w:left="5040" w:hanging="360"/>
      </w:pPr>
      <w:rPr>
        <w:rFonts w:ascii="Symbol" w:hAnsi="Symbol" w:hint="default"/>
      </w:rPr>
    </w:lvl>
    <w:lvl w:ilvl="7" w:tplc="D99E091C" w:tentative="1">
      <w:start w:val="1"/>
      <w:numFmt w:val="bullet"/>
      <w:lvlText w:val="o"/>
      <w:lvlJc w:val="left"/>
      <w:pPr>
        <w:tabs>
          <w:tab w:val="num" w:pos="5760"/>
        </w:tabs>
        <w:ind w:left="5760" w:hanging="360"/>
      </w:pPr>
      <w:rPr>
        <w:rFonts w:ascii="Courier New" w:hAnsi="Courier New" w:hint="default"/>
      </w:rPr>
    </w:lvl>
    <w:lvl w:ilvl="8" w:tplc="BC34B332"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4256F74"/>
    <w:multiLevelType w:val="multilevel"/>
    <w:tmpl w:val="1FE4E7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3" w15:restartNumberingAfterBreak="0">
    <w:nsid w:val="78C31C79"/>
    <w:multiLevelType w:val="hybridMultilevel"/>
    <w:tmpl w:val="0BBA56BC"/>
    <w:lvl w:ilvl="0" w:tplc="91A02458">
      <w:start w:val="1"/>
      <w:numFmt w:val="decimal"/>
      <w:lvlText w:val="%1."/>
      <w:lvlJc w:val="left"/>
      <w:pPr>
        <w:ind w:left="1440" w:hanging="360"/>
      </w:pPr>
      <w:rPr>
        <w:color w:val="000000"/>
      </w:rPr>
    </w:lvl>
    <w:lvl w:ilvl="1" w:tplc="B0880644" w:tentative="1">
      <w:start w:val="1"/>
      <w:numFmt w:val="lowerLetter"/>
      <w:lvlText w:val="%2."/>
      <w:lvlJc w:val="left"/>
      <w:pPr>
        <w:ind w:left="2160" w:hanging="360"/>
      </w:pPr>
    </w:lvl>
    <w:lvl w:ilvl="2" w:tplc="B91618BA" w:tentative="1">
      <w:start w:val="1"/>
      <w:numFmt w:val="lowerRoman"/>
      <w:lvlText w:val="%3."/>
      <w:lvlJc w:val="right"/>
      <w:pPr>
        <w:ind w:left="2880" w:hanging="180"/>
      </w:pPr>
    </w:lvl>
    <w:lvl w:ilvl="3" w:tplc="E2543160" w:tentative="1">
      <w:start w:val="1"/>
      <w:numFmt w:val="decimal"/>
      <w:lvlText w:val="%4."/>
      <w:lvlJc w:val="left"/>
      <w:pPr>
        <w:ind w:left="3600" w:hanging="360"/>
      </w:pPr>
    </w:lvl>
    <w:lvl w:ilvl="4" w:tplc="BE2883E4" w:tentative="1">
      <w:start w:val="1"/>
      <w:numFmt w:val="lowerLetter"/>
      <w:lvlText w:val="%5."/>
      <w:lvlJc w:val="left"/>
      <w:pPr>
        <w:ind w:left="4320" w:hanging="360"/>
      </w:pPr>
    </w:lvl>
    <w:lvl w:ilvl="5" w:tplc="509613DC" w:tentative="1">
      <w:start w:val="1"/>
      <w:numFmt w:val="lowerRoman"/>
      <w:lvlText w:val="%6."/>
      <w:lvlJc w:val="right"/>
      <w:pPr>
        <w:ind w:left="5040" w:hanging="180"/>
      </w:pPr>
    </w:lvl>
    <w:lvl w:ilvl="6" w:tplc="33501242" w:tentative="1">
      <w:start w:val="1"/>
      <w:numFmt w:val="decimal"/>
      <w:lvlText w:val="%7."/>
      <w:lvlJc w:val="left"/>
      <w:pPr>
        <w:ind w:left="5760" w:hanging="360"/>
      </w:pPr>
    </w:lvl>
    <w:lvl w:ilvl="7" w:tplc="ECBECD50" w:tentative="1">
      <w:start w:val="1"/>
      <w:numFmt w:val="lowerLetter"/>
      <w:lvlText w:val="%8."/>
      <w:lvlJc w:val="left"/>
      <w:pPr>
        <w:ind w:left="6480" w:hanging="360"/>
      </w:pPr>
    </w:lvl>
    <w:lvl w:ilvl="8" w:tplc="2C66B810" w:tentative="1">
      <w:start w:val="1"/>
      <w:numFmt w:val="lowerRoman"/>
      <w:lvlText w:val="%9."/>
      <w:lvlJc w:val="right"/>
      <w:pPr>
        <w:ind w:left="7200" w:hanging="180"/>
      </w:pPr>
    </w:lvl>
  </w:abstractNum>
  <w:abstractNum w:abstractNumId="44" w15:restartNumberingAfterBreak="0">
    <w:nsid w:val="7DB5644F"/>
    <w:multiLevelType w:val="hybridMultilevel"/>
    <w:tmpl w:val="8BCC9C08"/>
    <w:lvl w:ilvl="0" w:tplc="582CFEEC">
      <w:start w:val="1"/>
      <w:numFmt w:val="bullet"/>
      <w:pStyle w:val="BulletList3"/>
      <w:lvlText w:val=""/>
      <w:lvlJc w:val="left"/>
      <w:pPr>
        <w:tabs>
          <w:tab w:val="num" w:pos="1945"/>
        </w:tabs>
        <w:ind w:left="1945" w:hanging="357"/>
      </w:pPr>
      <w:rPr>
        <w:rFonts w:ascii="Symbol" w:hAnsi="Symbol" w:hint="default"/>
        <w:color w:val="000000"/>
      </w:rPr>
    </w:lvl>
    <w:lvl w:ilvl="1" w:tplc="67CC58DE" w:tentative="1">
      <w:start w:val="1"/>
      <w:numFmt w:val="bullet"/>
      <w:lvlText w:val="o"/>
      <w:lvlJc w:val="left"/>
      <w:pPr>
        <w:tabs>
          <w:tab w:val="num" w:pos="1440"/>
        </w:tabs>
        <w:ind w:left="1440" w:hanging="360"/>
      </w:pPr>
      <w:rPr>
        <w:rFonts w:ascii="Courier New" w:hAnsi="Courier New" w:cs="Courier New" w:hint="default"/>
      </w:rPr>
    </w:lvl>
    <w:lvl w:ilvl="2" w:tplc="D3F4EAB0" w:tentative="1">
      <w:start w:val="1"/>
      <w:numFmt w:val="bullet"/>
      <w:lvlText w:val=""/>
      <w:lvlJc w:val="left"/>
      <w:pPr>
        <w:tabs>
          <w:tab w:val="num" w:pos="2160"/>
        </w:tabs>
        <w:ind w:left="2160" w:hanging="360"/>
      </w:pPr>
      <w:rPr>
        <w:rFonts w:ascii="Wingdings" w:hAnsi="Wingdings" w:hint="default"/>
      </w:rPr>
    </w:lvl>
    <w:lvl w:ilvl="3" w:tplc="EBEAFD04" w:tentative="1">
      <w:start w:val="1"/>
      <w:numFmt w:val="bullet"/>
      <w:lvlText w:val=""/>
      <w:lvlJc w:val="left"/>
      <w:pPr>
        <w:tabs>
          <w:tab w:val="num" w:pos="2880"/>
        </w:tabs>
        <w:ind w:left="2880" w:hanging="360"/>
      </w:pPr>
      <w:rPr>
        <w:rFonts w:ascii="Symbol" w:hAnsi="Symbol" w:hint="default"/>
      </w:rPr>
    </w:lvl>
    <w:lvl w:ilvl="4" w:tplc="183AC4AE" w:tentative="1">
      <w:start w:val="1"/>
      <w:numFmt w:val="bullet"/>
      <w:lvlText w:val="o"/>
      <w:lvlJc w:val="left"/>
      <w:pPr>
        <w:tabs>
          <w:tab w:val="num" w:pos="3600"/>
        </w:tabs>
        <w:ind w:left="3600" w:hanging="360"/>
      </w:pPr>
      <w:rPr>
        <w:rFonts w:ascii="Courier New" w:hAnsi="Courier New" w:cs="Courier New" w:hint="default"/>
      </w:rPr>
    </w:lvl>
    <w:lvl w:ilvl="5" w:tplc="0216457E" w:tentative="1">
      <w:start w:val="1"/>
      <w:numFmt w:val="bullet"/>
      <w:lvlText w:val=""/>
      <w:lvlJc w:val="left"/>
      <w:pPr>
        <w:tabs>
          <w:tab w:val="num" w:pos="4320"/>
        </w:tabs>
        <w:ind w:left="4320" w:hanging="360"/>
      </w:pPr>
      <w:rPr>
        <w:rFonts w:ascii="Wingdings" w:hAnsi="Wingdings" w:hint="default"/>
      </w:rPr>
    </w:lvl>
    <w:lvl w:ilvl="6" w:tplc="61568D9A" w:tentative="1">
      <w:start w:val="1"/>
      <w:numFmt w:val="bullet"/>
      <w:lvlText w:val=""/>
      <w:lvlJc w:val="left"/>
      <w:pPr>
        <w:tabs>
          <w:tab w:val="num" w:pos="5040"/>
        </w:tabs>
        <w:ind w:left="5040" w:hanging="360"/>
      </w:pPr>
      <w:rPr>
        <w:rFonts w:ascii="Symbol" w:hAnsi="Symbol" w:hint="default"/>
      </w:rPr>
    </w:lvl>
    <w:lvl w:ilvl="7" w:tplc="D1683B1E" w:tentative="1">
      <w:start w:val="1"/>
      <w:numFmt w:val="bullet"/>
      <w:lvlText w:val="o"/>
      <w:lvlJc w:val="left"/>
      <w:pPr>
        <w:tabs>
          <w:tab w:val="num" w:pos="5760"/>
        </w:tabs>
        <w:ind w:left="5760" w:hanging="360"/>
      </w:pPr>
      <w:rPr>
        <w:rFonts w:ascii="Courier New" w:hAnsi="Courier New" w:cs="Courier New" w:hint="default"/>
      </w:rPr>
    </w:lvl>
    <w:lvl w:ilvl="8" w:tplc="7B48ED32" w:tentative="1">
      <w:start w:val="1"/>
      <w:numFmt w:val="bullet"/>
      <w:lvlText w:val=""/>
      <w:lvlJc w:val="left"/>
      <w:pPr>
        <w:tabs>
          <w:tab w:val="num" w:pos="6480"/>
        </w:tabs>
        <w:ind w:left="6480" w:hanging="360"/>
      </w:pPr>
      <w:rPr>
        <w:rFonts w:ascii="Wingdings" w:hAnsi="Wingdings" w:hint="default"/>
      </w:rPr>
    </w:lvl>
  </w:abstractNum>
  <w:num w:numId="1" w16cid:durableId="975137478">
    <w:abstractNumId w:val="37"/>
  </w:num>
  <w:num w:numId="2" w16cid:durableId="1020274052">
    <w:abstractNumId w:val="38"/>
  </w:num>
  <w:num w:numId="3" w16cid:durableId="472210889">
    <w:abstractNumId w:val="23"/>
  </w:num>
  <w:num w:numId="4" w16cid:durableId="1135373847">
    <w:abstractNumId w:val="44"/>
  </w:num>
  <w:num w:numId="5" w16cid:durableId="2020691716">
    <w:abstractNumId w:val="41"/>
  </w:num>
  <w:num w:numId="6" w16cid:durableId="587419759">
    <w:abstractNumId w:val="16"/>
  </w:num>
  <w:num w:numId="7" w16cid:durableId="456874512">
    <w:abstractNumId w:val="25"/>
  </w:num>
  <w:num w:numId="8" w16cid:durableId="112139689">
    <w:abstractNumId w:val="24"/>
  </w:num>
  <w:num w:numId="9" w16cid:durableId="1156459775">
    <w:abstractNumId w:val="21"/>
  </w:num>
  <w:num w:numId="10" w16cid:durableId="1332103995">
    <w:abstractNumId w:val="33"/>
  </w:num>
  <w:num w:numId="11" w16cid:durableId="1639413729">
    <w:abstractNumId w:val="19"/>
  </w:num>
  <w:num w:numId="12" w16cid:durableId="1140154177">
    <w:abstractNumId w:val="32"/>
  </w:num>
  <w:num w:numId="13" w16cid:durableId="1772775769">
    <w:abstractNumId w:val="35"/>
  </w:num>
  <w:num w:numId="14" w16cid:durableId="683628850">
    <w:abstractNumId w:val="26"/>
  </w:num>
  <w:num w:numId="15" w16cid:durableId="808211782">
    <w:abstractNumId w:val="31"/>
  </w:num>
  <w:num w:numId="16" w16cid:durableId="505824460">
    <w:abstractNumId w:val="29"/>
  </w:num>
  <w:num w:numId="17" w16cid:durableId="586810569">
    <w:abstractNumId w:val="30"/>
  </w:num>
  <w:num w:numId="18" w16cid:durableId="2077126341">
    <w:abstractNumId w:val="28"/>
  </w:num>
  <w:num w:numId="19" w16cid:durableId="885606791">
    <w:abstractNumId w:val="22"/>
  </w:num>
  <w:num w:numId="20" w16cid:durableId="68042697">
    <w:abstractNumId w:val="36"/>
  </w:num>
  <w:num w:numId="21" w16cid:durableId="1088887849">
    <w:abstractNumId w:val="11"/>
  </w:num>
  <w:num w:numId="22" w16cid:durableId="9263422">
    <w:abstractNumId w:val="14"/>
  </w:num>
  <w:num w:numId="23" w16cid:durableId="17031651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74776153">
    <w:abstractNumId w:val="39"/>
  </w:num>
  <w:num w:numId="25" w16cid:durableId="1294479851">
    <w:abstractNumId w:val="42"/>
  </w:num>
  <w:num w:numId="26" w16cid:durableId="71974143">
    <w:abstractNumId w:val="15"/>
  </w:num>
  <w:num w:numId="27" w16cid:durableId="1268661736">
    <w:abstractNumId w:val="18"/>
  </w:num>
  <w:num w:numId="28" w16cid:durableId="1489250803">
    <w:abstractNumId w:val="34"/>
  </w:num>
  <w:num w:numId="29" w16cid:durableId="128128436">
    <w:abstractNumId w:val="9"/>
  </w:num>
  <w:num w:numId="30" w16cid:durableId="951745330">
    <w:abstractNumId w:val="7"/>
  </w:num>
  <w:num w:numId="31" w16cid:durableId="1753358338">
    <w:abstractNumId w:val="6"/>
  </w:num>
  <w:num w:numId="32" w16cid:durableId="860555115">
    <w:abstractNumId w:val="5"/>
  </w:num>
  <w:num w:numId="33" w16cid:durableId="1250893913">
    <w:abstractNumId w:val="4"/>
  </w:num>
  <w:num w:numId="34" w16cid:durableId="734744094">
    <w:abstractNumId w:val="8"/>
  </w:num>
  <w:num w:numId="35" w16cid:durableId="1596472439">
    <w:abstractNumId w:val="3"/>
  </w:num>
  <w:num w:numId="36" w16cid:durableId="1859344003">
    <w:abstractNumId w:val="2"/>
  </w:num>
  <w:num w:numId="37" w16cid:durableId="897981942">
    <w:abstractNumId w:val="1"/>
  </w:num>
  <w:num w:numId="38" w16cid:durableId="2118405231">
    <w:abstractNumId w:val="0"/>
  </w:num>
  <w:num w:numId="39" w16cid:durableId="89616608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44115109">
    <w:abstractNumId w:val="13"/>
  </w:num>
  <w:num w:numId="41" w16cid:durableId="448206181">
    <w:abstractNumId w:val="10"/>
  </w:num>
  <w:num w:numId="42" w16cid:durableId="1092581581">
    <w:abstractNumId w:val="43"/>
  </w:num>
  <w:num w:numId="43" w16cid:durableId="538930558">
    <w:abstractNumId w:val="12"/>
  </w:num>
  <w:num w:numId="44" w16cid:durableId="1766262356">
    <w:abstractNumId w:val="17"/>
  </w:num>
  <w:num w:numId="45" w16cid:durableId="453718265">
    <w:abstractNumId w:val="40"/>
  </w:num>
  <w:num w:numId="46" w16cid:durableId="1978952564">
    <w:abstractNumId w:val="23"/>
  </w:num>
  <w:num w:numId="47" w16cid:durableId="879826260">
    <w:abstractNumId w:val="27"/>
  </w:num>
  <w:num w:numId="48" w16cid:durableId="6771957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826047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stol Capital">
    <w15:presenceInfo w15:providerId="None" w15:userId="Bristol Capit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FB7761DB-B5B6-4445-9D33-249FCC9809F3}"/>
  </w:docVars>
  <w:rsids>
    <w:rsidRoot w:val="00010BAD"/>
    <w:rsid w:val="00010BAD"/>
    <w:rsid w:val="00032B04"/>
    <w:rsid w:val="00057FB6"/>
    <w:rsid w:val="00064D92"/>
    <w:rsid w:val="00075A1E"/>
    <w:rsid w:val="000860F3"/>
    <w:rsid w:val="000862F5"/>
    <w:rsid w:val="000C53E0"/>
    <w:rsid w:val="000C70EF"/>
    <w:rsid w:val="00152DC8"/>
    <w:rsid w:val="00161E53"/>
    <w:rsid w:val="00183CDB"/>
    <w:rsid w:val="001918F8"/>
    <w:rsid w:val="00192E56"/>
    <w:rsid w:val="001D0356"/>
    <w:rsid w:val="00201CA6"/>
    <w:rsid w:val="00203102"/>
    <w:rsid w:val="0020722D"/>
    <w:rsid w:val="002313D5"/>
    <w:rsid w:val="00255308"/>
    <w:rsid w:val="002A4ADE"/>
    <w:rsid w:val="002B39C8"/>
    <w:rsid w:val="002E7BF4"/>
    <w:rsid w:val="003027D2"/>
    <w:rsid w:val="00312DA2"/>
    <w:rsid w:val="0032567D"/>
    <w:rsid w:val="00333085"/>
    <w:rsid w:val="0036126B"/>
    <w:rsid w:val="00365D40"/>
    <w:rsid w:val="0038564E"/>
    <w:rsid w:val="00394B71"/>
    <w:rsid w:val="003A09F4"/>
    <w:rsid w:val="003A449A"/>
    <w:rsid w:val="003E238D"/>
    <w:rsid w:val="00401081"/>
    <w:rsid w:val="004235BD"/>
    <w:rsid w:val="00435AC1"/>
    <w:rsid w:val="004B45D2"/>
    <w:rsid w:val="004D6C31"/>
    <w:rsid w:val="004E4B37"/>
    <w:rsid w:val="00557754"/>
    <w:rsid w:val="00592416"/>
    <w:rsid w:val="0059550A"/>
    <w:rsid w:val="00596661"/>
    <w:rsid w:val="005A6092"/>
    <w:rsid w:val="005B01B7"/>
    <w:rsid w:val="005C31B1"/>
    <w:rsid w:val="006106FB"/>
    <w:rsid w:val="006254ED"/>
    <w:rsid w:val="0065697C"/>
    <w:rsid w:val="00766796"/>
    <w:rsid w:val="0078348F"/>
    <w:rsid w:val="00785C0F"/>
    <w:rsid w:val="007E7904"/>
    <w:rsid w:val="007F7888"/>
    <w:rsid w:val="00801499"/>
    <w:rsid w:val="0086562C"/>
    <w:rsid w:val="0086619A"/>
    <w:rsid w:val="00866F0D"/>
    <w:rsid w:val="0088536C"/>
    <w:rsid w:val="008A7532"/>
    <w:rsid w:val="008E23A0"/>
    <w:rsid w:val="008E542E"/>
    <w:rsid w:val="008F34B4"/>
    <w:rsid w:val="009124B4"/>
    <w:rsid w:val="009552E5"/>
    <w:rsid w:val="00995BD5"/>
    <w:rsid w:val="009C2A66"/>
    <w:rsid w:val="009D3DDC"/>
    <w:rsid w:val="009E3DD4"/>
    <w:rsid w:val="009F03B4"/>
    <w:rsid w:val="009F1281"/>
    <w:rsid w:val="009F2FA4"/>
    <w:rsid w:val="00A272D3"/>
    <w:rsid w:val="00A85AA8"/>
    <w:rsid w:val="00AB52CD"/>
    <w:rsid w:val="00B071BB"/>
    <w:rsid w:val="00B11482"/>
    <w:rsid w:val="00B24FB9"/>
    <w:rsid w:val="00B365C6"/>
    <w:rsid w:val="00B56654"/>
    <w:rsid w:val="00B75493"/>
    <w:rsid w:val="00B76AF7"/>
    <w:rsid w:val="00BA6A8B"/>
    <w:rsid w:val="00BC1F3D"/>
    <w:rsid w:val="00BE5124"/>
    <w:rsid w:val="00C158C2"/>
    <w:rsid w:val="00C55908"/>
    <w:rsid w:val="00C55B62"/>
    <w:rsid w:val="00C716EB"/>
    <w:rsid w:val="00C81402"/>
    <w:rsid w:val="00C86D8E"/>
    <w:rsid w:val="00C93DC0"/>
    <w:rsid w:val="00CA07BB"/>
    <w:rsid w:val="00CF7417"/>
    <w:rsid w:val="00D0334A"/>
    <w:rsid w:val="00D1411B"/>
    <w:rsid w:val="00D25F3F"/>
    <w:rsid w:val="00D35A4E"/>
    <w:rsid w:val="00D50477"/>
    <w:rsid w:val="00D550AC"/>
    <w:rsid w:val="00D909CE"/>
    <w:rsid w:val="00DA480D"/>
    <w:rsid w:val="00DD52EB"/>
    <w:rsid w:val="00E11D1D"/>
    <w:rsid w:val="00E324CE"/>
    <w:rsid w:val="00E32EB8"/>
    <w:rsid w:val="00E448A9"/>
    <w:rsid w:val="00E515B4"/>
    <w:rsid w:val="00E660E9"/>
    <w:rsid w:val="00E92C50"/>
    <w:rsid w:val="00ED1A8E"/>
    <w:rsid w:val="00EF5669"/>
    <w:rsid w:val="00F02D5F"/>
    <w:rsid w:val="00F6777D"/>
    <w:rsid w:val="00F7750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F5FA"/>
  <w15:docId w15:val="{5312153D-2129-4323-B4DF-BE6ABA93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E5124"/>
    <w:pPr>
      <w:spacing w:after="160" w:line="278" w:lineRule="auto"/>
    </w:pPr>
    <w:rPr>
      <w:rFonts w:eastAsiaTheme="minorHAnsi"/>
      <w:kern w:val="2"/>
      <w:sz w:val="24"/>
      <w:szCs w:val="24"/>
      <w:lang w:val="en-US" w:eastAsia="en-US"/>
      <w14:ligatures w14:val="standardContextual"/>
    </w:rPr>
  </w:style>
  <w:style w:type="paragraph" w:styleId="Heading1">
    <w:name w:val="heading 1"/>
    <w:basedOn w:val="Normal"/>
    <w:next w:val="Normal"/>
    <w:link w:val="Heading1Char"/>
    <w:uiPriority w:val="9"/>
    <w:qFormat/>
    <w:rsid w:val="00073A2F"/>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073A2F"/>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073A2F"/>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073A2F"/>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073A2F"/>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073A2F"/>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073A2F"/>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073A2F"/>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073A2F"/>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BE51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5124"/>
  </w:style>
  <w:style w:type="paragraph" w:customStyle="1" w:styleId="Abstract">
    <w:name w:val="Abstract"/>
    <w:link w:val="AbstractChar"/>
    <w:rsid w:val="00073A2F"/>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073A2F"/>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073A2F"/>
    <w:pPr>
      <w:numPr>
        <w:numId w:val="11"/>
      </w:numPr>
      <w:spacing w:before="240" w:after="240"/>
      <w:ind w:left="0" w:firstLine="0"/>
    </w:pPr>
    <w:rPr>
      <w:b/>
    </w:rPr>
  </w:style>
  <w:style w:type="paragraph" w:customStyle="1" w:styleId="AuthoringGroup">
    <w:name w:val="Authoring Group"/>
    <w:link w:val="AuthoringGroupChar"/>
    <w:rsid w:val="00073A2F"/>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073A2F"/>
    <w:rPr>
      <w:rFonts w:ascii="Arial" w:eastAsia="Arial Unicode MS" w:hAnsi="Arial" w:cs="Arial"/>
      <w:color w:val="000000"/>
      <w:sz w:val="24"/>
      <w:lang w:val="en-US" w:eastAsia="en-US"/>
    </w:rPr>
  </w:style>
  <w:style w:type="paragraph" w:customStyle="1" w:styleId="Background">
    <w:name w:val="Background"/>
    <w:aliases w:val="(A) Background"/>
    <w:basedOn w:val="Normal"/>
    <w:rsid w:val="00073A2F"/>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rsid w:val="00073A2F"/>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073A2F"/>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073A2F"/>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073A2F"/>
    <w:pPr>
      <w:keepNext/>
      <w:numPr>
        <w:numId w:val="23"/>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073A2F"/>
    <w:rPr>
      <w:b w:val="0"/>
      <w:smallCaps/>
    </w:rPr>
  </w:style>
  <w:style w:type="paragraph" w:customStyle="1" w:styleId="ClosingPara">
    <w:name w:val="Closing Para"/>
    <w:basedOn w:val="Normal"/>
    <w:rsid w:val="00073A2F"/>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073A2F"/>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073A2F"/>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073A2F"/>
  </w:style>
  <w:style w:type="paragraph" w:customStyle="1" w:styleId="CoverSheetSubjectText">
    <w:name w:val="Cover Sheet Subject Text"/>
    <w:basedOn w:val="Normal"/>
    <w:rsid w:val="00073A2F"/>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073A2F"/>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073A2F"/>
    <w:pPr>
      <w:numPr>
        <w:numId w:val="24"/>
      </w:numPr>
    </w:pPr>
  </w:style>
  <w:style w:type="paragraph" w:customStyle="1" w:styleId="DescriptiveHeading">
    <w:name w:val="DescriptiveHeading"/>
    <w:next w:val="Paragraph"/>
    <w:link w:val="DescriptiveHeadingChar"/>
    <w:rsid w:val="00073A2F"/>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073A2F"/>
    <w:rPr>
      <w:rFonts w:ascii="Arial" w:eastAsia="Arial Unicode MS" w:hAnsi="Arial" w:cs="Arial"/>
      <w:b/>
      <w:color w:val="000000"/>
      <w:lang w:val="en-US" w:eastAsia="en-US"/>
    </w:rPr>
  </w:style>
  <w:style w:type="paragraph" w:customStyle="1" w:styleId="DraftingnoteSection1Para">
    <w:name w:val="Draftingnote Section1 Para"/>
    <w:basedOn w:val="Normal"/>
    <w:rsid w:val="00073A2F"/>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073A2F"/>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073A2F"/>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073A2F"/>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073A2F"/>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073A2F"/>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073A2F"/>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073A2F"/>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073A2F"/>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073A2F"/>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073A2F"/>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073A2F"/>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073A2F"/>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073A2F"/>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073A2F"/>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073A2F"/>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073A2F"/>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073A2F"/>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073A2F"/>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073A2F"/>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073A2F"/>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073A2F"/>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073A2F"/>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073A2F"/>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073A2F"/>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073A2F"/>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073A2F"/>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073A2F"/>
    <w:rPr>
      <w:rFonts w:ascii="Arial" w:eastAsia="Arial Unicode MS" w:hAnsi="Arial" w:cs="Arial"/>
      <w:color w:val="000000"/>
      <w:sz w:val="24"/>
      <w:lang w:val="en-US" w:eastAsia="en-US"/>
    </w:rPr>
  </w:style>
  <w:style w:type="paragraph" w:customStyle="1" w:styleId="MaintenanceEditor">
    <w:name w:val="Maintenance Editor"/>
    <w:link w:val="MaintenanceEditorChar"/>
    <w:rsid w:val="00073A2F"/>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073A2F"/>
    <w:rPr>
      <w:rFonts w:ascii="Arial" w:eastAsia="Arial Unicode MS" w:hAnsi="Arial" w:cs="Arial"/>
      <w:color w:val="000000"/>
      <w:sz w:val="24"/>
      <w:lang w:val="en-US" w:eastAsia="en-US"/>
    </w:rPr>
  </w:style>
  <w:style w:type="paragraph" w:customStyle="1" w:styleId="ParaClause">
    <w:name w:val="Para Clause"/>
    <w:basedOn w:val="Normal"/>
    <w:rsid w:val="00073A2F"/>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073A2F"/>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073A2F"/>
    <w:pPr>
      <w:numPr>
        <w:ilvl w:val="1"/>
        <w:numId w:val="23"/>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073A2F"/>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073A2F"/>
    <w:pPr>
      <w:numPr>
        <w:ilvl w:val="2"/>
        <w:numId w:val="23"/>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073A2F"/>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073A2F"/>
    <w:pPr>
      <w:numPr>
        <w:ilvl w:val="3"/>
        <w:numId w:val="2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073A2F"/>
    <w:pPr>
      <w:spacing w:after="240"/>
      <w:ind w:left="3028"/>
    </w:pPr>
  </w:style>
  <w:style w:type="paragraph" w:customStyle="1" w:styleId="Untitledsubclause4">
    <w:name w:val="Untitled subclause 4"/>
    <w:basedOn w:val="Normal"/>
    <w:rsid w:val="00073A2F"/>
    <w:pPr>
      <w:numPr>
        <w:ilvl w:val="4"/>
        <w:numId w:val="23"/>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073A2F"/>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073A2F"/>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073A2F"/>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073A2F"/>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073A2F"/>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073A2F"/>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073A2F"/>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073A2F"/>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073A2F"/>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073A2F"/>
    <w:rPr>
      <w:rFonts w:ascii="Arial" w:eastAsia="Arial Unicode MS" w:hAnsi="Arial" w:cs="Arial"/>
      <w:b/>
      <w:bCs/>
      <w:color w:val="000000"/>
      <w:sz w:val="24"/>
      <w:lang w:val="en-US" w:eastAsia="en-US"/>
    </w:rPr>
  </w:style>
  <w:style w:type="paragraph" w:customStyle="1" w:styleId="ResourceType">
    <w:name w:val="Resource Type"/>
    <w:link w:val="ResourceTypeChar"/>
    <w:rsid w:val="00073A2F"/>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073A2F"/>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073A2F"/>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073A2F"/>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073A2F"/>
    <w:pPr>
      <w:tabs>
        <w:tab w:val="left" w:pos="709"/>
      </w:tabs>
      <w:spacing w:before="120" w:after="120" w:line="300" w:lineRule="atLeast"/>
      <w:jc w:val="both"/>
    </w:pPr>
    <w:rPr>
      <w:rFonts w:ascii="Arial" w:eastAsia="Arial Unicode MS" w:hAnsi="Arial" w:cs="Arial"/>
      <w:b/>
      <w:smallCaps/>
      <w:color w:val="000000"/>
      <w:szCs w:val="20"/>
    </w:rPr>
  </w:style>
  <w:style w:type="paragraph" w:customStyle="1" w:styleId="Shortquestion">
    <w:name w:val="Shortquestion"/>
    <w:basedOn w:val="Normal"/>
    <w:rsid w:val="00073A2F"/>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073A2F"/>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073A2F"/>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073A2F"/>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073A2F"/>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073A2F"/>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073A2F"/>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073A2F"/>
    <w:rPr>
      <w:rFonts w:ascii="Arial" w:eastAsia="Arial Unicode MS" w:hAnsi="Arial" w:cs="Arial"/>
      <w:color w:val="000000"/>
      <w:sz w:val="24"/>
      <w:szCs w:val="24"/>
      <w:lang w:val="en-US" w:eastAsia="en-US"/>
    </w:rPr>
  </w:style>
  <w:style w:type="paragraph" w:styleId="Title">
    <w:name w:val="Title"/>
    <w:link w:val="TitleChar"/>
    <w:rsid w:val="00073A2F"/>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073A2F"/>
    <w:rPr>
      <w:rFonts w:ascii="Arial" w:eastAsia="Arial Unicode MS" w:hAnsi="Arial" w:cs="Arial"/>
      <w:color w:val="000000"/>
      <w:sz w:val="24"/>
      <w:lang w:val="en-US" w:eastAsia="en-US"/>
    </w:rPr>
  </w:style>
  <w:style w:type="paragraph" w:styleId="Footer">
    <w:name w:val="footer"/>
    <w:basedOn w:val="Normal"/>
    <w:link w:val="FooterChar"/>
    <w:rsid w:val="00073A2F"/>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073A2F"/>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073A2F"/>
    <w:rPr>
      <w:i/>
      <w:color w:val="000000"/>
      <w:u w:val="single"/>
    </w:rPr>
  </w:style>
  <w:style w:type="paragraph" w:customStyle="1" w:styleId="Bullet4">
    <w:name w:val="Bullet4"/>
    <w:basedOn w:val="Normal"/>
    <w:rsid w:val="00073A2F"/>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073A2F"/>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073A2F"/>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073A2F"/>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073A2F"/>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073A2F"/>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073A2F"/>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073A2F"/>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073A2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073A2F"/>
    <w:rPr>
      <w:color w:val="000000"/>
    </w:rPr>
  </w:style>
  <w:style w:type="character" w:styleId="PlaceholderText">
    <w:name w:val="Placeholder Text"/>
    <w:basedOn w:val="DefaultParagraphFont"/>
    <w:uiPriority w:val="99"/>
    <w:rsid w:val="00073A2F"/>
    <w:rPr>
      <w:color w:val="000000"/>
    </w:rPr>
  </w:style>
  <w:style w:type="paragraph" w:styleId="BalloonText">
    <w:name w:val="Balloon Text"/>
    <w:basedOn w:val="Normal"/>
    <w:link w:val="BalloonTextChar"/>
    <w:uiPriority w:val="99"/>
    <w:semiHidden/>
    <w:unhideWhenUsed/>
    <w:rsid w:val="00073A2F"/>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073A2F"/>
    <w:rPr>
      <w:rFonts w:ascii="Tahoma" w:hAnsi="Tahoma" w:cs="Tahoma"/>
      <w:color w:val="000000"/>
      <w:sz w:val="16"/>
      <w:szCs w:val="16"/>
    </w:rPr>
  </w:style>
  <w:style w:type="paragraph" w:customStyle="1" w:styleId="PinPointRef">
    <w:name w:val="PinPoint Ref"/>
    <w:link w:val="PinPointRefChar"/>
    <w:qFormat/>
    <w:rsid w:val="00073A2F"/>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073A2F"/>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073A2F"/>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073A2F"/>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073A2F"/>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073A2F"/>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073A2F"/>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073A2F"/>
    <w:rPr>
      <w:rFonts w:ascii="Arial" w:eastAsia="Arial Unicode MS" w:hAnsi="Arial" w:cs="Arial"/>
      <w:color w:val="000000"/>
      <w:szCs w:val="24"/>
      <w:lang w:val="en-US" w:eastAsia="en-US"/>
    </w:rPr>
  </w:style>
  <w:style w:type="paragraph" w:customStyle="1" w:styleId="IntroDefault">
    <w:name w:val="Intro Default"/>
    <w:basedOn w:val="Paragraph"/>
    <w:qFormat/>
    <w:rsid w:val="00073A2F"/>
  </w:style>
  <w:style w:type="paragraph" w:customStyle="1" w:styleId="IntroCustom">
    <w:name w:val="Intro Custom"/>
    <w:basedOn w:val="Paragraph"/>
    <w:qFormat/>
    <w:rsid w:val="00073A2F"/>
  </w:style>
  <w:style w:type="paragraph" w:customStyle="1" w:styleId="PrecedentType">
    <w:name w:val="Precedent Type"/>
    <w:basedOn w:val="IgnoredSpacing"/>
    <w:qFormat/>
    <w:rsid w:val="00073A2F"/>
  </w:style>
  <w:style w:type="paragraph" w:customStyle="1" w:styleId="Operative">
    <w:name w:val="Operative"/>
    <w:basedOn w:val="IgnoredSpacing"/>
    <w:qFormat/>
    <w:rsid w:val="00073A2F"/>
    <w:rPr>
      <w:vanish/>
    </w:rPr>
  </w:style>
  <w:style w:type="paragraph" w:customStyle="1" w:styleId="SpeedreadBulletList1">
    <w:name w:val="Speedread Bullet List 1"/>
    <w:basedOn w:val="BulletList1"/>
    <w:qFormat/>
    <w:rsid w:val="00073A2F"/>
  </w:style>
  <w:style w:type="paragraph" w:customStyle="1" w:styleId="PartiesTitle">
    <w:name w:val="Parties Title"/>
    <w:basedOn w:val="Paragraph"/>
    <w:qFormat/>
    <w:rsid w:val="00073A2F"/>
    <w:rPr>
      <w:b/>
    </w:rPr>
  </w:style>
  <w:style w:type="table" w:styleId="TableGrid">
    <w:name w:val="Table Grid"/>
    <w:basedOn w:val="TableNormal"/>
    <w:rsid w:val="00073A2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073A2F"/>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073A2F"/>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073A2F"/>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073A2F"/>
    <w:pPr>
      <w:shd w:val="clear" w:color="auto" w:fill="D9D9D9" w:themeFill="background1" w:themeFillShade="D9"/>
      <w:ind w:left="1077"/>
    </w:pPr>
  </w:style>
  <w:style w:type="paragraph" w:customStyle="1" w:styleId="TestimoniumContract">
    <w:name w:val="Testimonium Contract"/>
    <w:basedOn w:val="Paragraph"/>
    <w:qFormat/>
    <w:rsid w:val="00073A2F"/>
  </w:style>
  <w:style w:type="paragraph" w:customStyle="1" w:styleId="TestimoniumDeed">
    <w:name w:val="Testimonium Deed"/>
    <w:basedOn w:val="Paragraph"/>
    <w:qFormat/>
    <w:rsid w:val="00073A2F"/>
  </w:style>
  <w:style w:type="paragraph" w:customStyle="1" w:styleId="Titlesubclause2">
    <w:name w:val="Title subclause2"/>
    <w:basedOn w:val="Untitledsubclause2"/>
    <w:qFormat/>
    <w:rsid w:val="00073A2F"/>
    <w:rPr>
      <w:b/>
    </w:rPr>
  </w:style>
  <w:style w:type="paragraph" w:customStyle="1" w:styleId="Titlesubclause3">
    <w:name w:val="Title subclause3"/>
    <w:basedOn w:val="Untitledsubclause3"/>
    <w:qFormat/>
    <w:rsid w:val="00073A2F"/>
    <w:rPr>
      <w:b/>
    </w:rPr>
  </w:style>
  <w:style w:type="paragraph" w:customStyle="1" w:styleId="Titlesubclause4">
    <w:name w:val="Title subclause4"/>
    <w:basedOn w:val="Untitledsubclause4"/>
    <w:qFormat/>
    <w:rsid w:val="00073A2F"/>
    <w:rPr>
      <w:b/>
    </w:rPr>
  </w:style>
  <w:style w:type="paragraph" w:customStyle="1" w:styleId="UntitledClause">
    <w:name w:val="Untitled Clause"/>
    <w:basedOn w:val="TitleClause"/>
    <w:qFormat/>
    <w:rsid w:val="00073A2F"/>
    <w:pPr>
      <w:spacing w:before="120"/>
    </w:pPr>
    <w:rPr>
      <w:b w:val="0"/>
    </w:rPr>
  </w:style>
  <w:style w:type="paragraph" w:customStyle="1" w:styleId="Titlesubclause1">
    <w:name w:val="Title subclause1"/>
    <w:basedOn w:val="Untitledsubclause1"/>
    <w:qFormat/>
    <w:rsid w:val="00073A2F"/>
    <w:pPr>
      <w:spacing w:before="120"/>
    </w:pPr>
    <w:rPr>
      <w:b/>
    </w:rPr>
  </w:style>
  <w:style w:type="paragraph" w:customStyle="1" w:styleId="Schedule">
    <w:name w:val="Schedule"/>
    <w:qFormat/>
    <w:rsid w:val="00073A2F"/>
    <w:pPr>
      <w:numPr>
        <w:numId w:val="2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073A2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073A2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073A2F"/>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073A2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073A2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073A2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073A2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073A2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073A2F"/>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073A2F"/>
    <w:rPr>
      <w:b/>
    </w:rPr>
  </w:style>
  <w:style w:type="paragraph" w:customStyle="1" w:styleId="Part">
    <w:name w:val="Part"/>
    <w:basedOn w:val="Paragraph"/>
    <w:qFormat/>
    <w:rsid w:val="00073A2F"/>
    <w:pPr>
      <w:numPr>
        <w:ilvl w:val="1"/>
        <w:numId w:val="22"/>
      </w:numPr>
      <w:spacing w:before="240" w:after="240"/>
      <w:jc w:val="left"/>
    </w:pPr>
    <w:rPr>
      <w:b/>
    </w:rPr>
  </w:style>
  <w:style w:type="paragraph" w:customStyle="1" w:styleId="AnnexTitle">
    <w:name w:val="Annex Title"/>
    <w:basedOn w:val="Paragraph"/>
    <w:next w:val="Paragraph"/>
    <w:qFormat/>
    <w:rsid w:val="00073A2F"/>
    <w:pPr>
      <w:spacing w:before="240" w:after="240"/>
    </w:pPr>
    <w:rPr>
      <w:b/>
    </w:rPr>
  </w:style>
  <w:style w:type="paragraph" w:customStyle="1" w:styleId="PartTitle">
    <w:name w:val="Part Title"/>
    <w:basedOn w:val="Paragraph"/>
    <w:qFormat/>
    <w:rsid w:val="00073A2F"/>
    <w:rPr>
      <w:b/>
    </w:rPr>
  </w:style>
  <w:style w:type="paragraph" w:customStyle="1" w:styleId="Testimonium">
    <w:name w:val="Testimonium"/>
    <w:basedOn w:val="Paragraph"/>
    <w:qFormat/>
    <w:rsid w:val="00073A2F"/>
  </w:style>
  <w:style w:type="character" w:customStyle="1" w:styleId="apple-converted-space">
    <w:name w:val="apple-converted-space"/>
    <w:basedOn w:val="DefaultParagraphFont"/>
    <w:rsid w:val="00073A2F"/>
    <w:rPr>
      <w:color w:val="000000"/>
    </w:rPr>
  </w:style>
  <w:style w:type="character" w:styleId="Emphasis">
    <w:name w:val="Emphasis"/>
    <w:basedOn w:val="DefaultParagraphFont"/>
    <w:uiPriority w:val="20"/>
    <w:qFormat/>
    <w:rsid w:val="00073A2F"/>
    <w:rPr>
      <w:i/>
      <w:iCs/>
      <w:color w:val="000000"/>
    </w:rPr>
  </w:style>
  <w:style w:type="paragraph" w:customStyle="1" w:styleId="NoNumTitle-Clause">
    <w:name w:val="No Num Title - Clause"/>
    <w:basedOn w:val="TitleClause"/>
    <w:qFormat/>
    <w:rsid w:val="00073A2F"/>
    <w:pPr>
      <w:numPr>
        <w:numId w:val="0"/>
      </w:numPr>
      <w:ind w:left="720"/>
    </w:pPr>
  </w:style>
  <w:style w:type="paragraph" w:customStyle="1" w:styleId="NoNumTitlesubclause1">
    <w:name w:val="No Num Title subclause1"/>
    <w:basedOn w:val="Titlesubclause1"/>
    <w:qFormat/>
    <w:rsid w:val="00073A2F"/>
    <w:pPr>
      <w:numPr>
        <w:ilvl w:val="0"/>
        <w:numId w:val="0"/>
      </w:numPr>
      <w:ind w:left="720"/>
    </w:pPr>
  </w:style>
  <w:style w:type="paragraph" w:customStyle="1" w:styleId="AddressLine">
    <w:name w:val="Address Line"/>
    <w:basedOn w:val="Paragraph"/>
    <w:qFormat/>
    <w:rsid w:val="00073A2F"/>
  </w:style>
  <w:style w:type="paragraph" w:styleId="Date">
    <w:name w:val="Date"/>
    <w:basedOn w:val="Paragraph"/>
    <w:qFormat/>
    <w:rsid w:val="00073A2F"/>
  </w:style>
  <w:style w:type="paragraph" w:customStyle="1" w:styleId="SalutationPara">
    <w:name w:val="Salutation Para"/>
    <w:basedOn w:val="Paragraph"/>
    <w:next w:val="Paragraph"/>
    <w:qFormat/>
    <w:rsid w:val="00073A2F"/>
    <w:pPr>
      <w:spacing w:before="240"/>
    </w:pPr>
  </w:style>
  <w:style w:type="character" w:styleId="FollowedHyperlink">
    <w:name w:val="FollowedHyperlink"/>
    <w:basedOn w:val="DefaultParagraphFont"/>
    <w:uiPriority w:val="99"/>
    <w:semiHidden/>
    <w:unhideWhenUsed/>
    <w:rsid w:val="00073A2F"/>
    <w:rPr>
      <w:i/>
      <w:color w:val="000000"/>
      <w:u w:val="single"/>
    </w:rPr>
  </w:style>
  <w:style w:type="character" w:customStyle="1" w:styleId="DefTerm">
    <w:name w:val="DefTerm"/>
    <w:basedOn w:val="DefaultParagraphFont"/>
    <w:uiPriority w:val="1"/>
    <w:qFormat/>
    <w:rsid w:val="00073A2F"/>
    <w:rPr>
      <w:b/>
      <w:color w:val="000000"/>
    </w:rPr>
  </w:style>
  <w:style w:type="table" w:customStyle="1" w:styleId="ShadedTable">
    <w:name w:val="Shaded Table"/>
    <w:basedOn w:val="TableNormal"/>
    <w:uiPriority w:val="99"/>
    <w:rsid w:val="00073A2F"/>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073A2F"/>
    <w:rPr>
      <w:i/>
    </w:rPr>
  </w:style>
  <w:style w:type="paragraph" w:customStyle="1" w:styleId="LetterTitle">
    <w:name w:val="Letter Title"/>
    <w:basedOn w:val="Paragraph"/>
    <w:qFormat/>
    <w:rsid w:val="00073A2F"/>
    <w:rPr>
      <w:b/>
    </w:rPr>
  </w:style>
  <w:style w:type="paragraph" w:customStyle="1" w:styleId="LongQuestionPara">
    <w:name w:val="Long Question Para"/>
    <w:basedOn w:val="Paragraph"/>
    <w:link w:val="LongQuestionParaChar"/>
    <w:rsid w:val="00073A2F"/>
    <w:pPr>
      <w:numPr>
        <w:numId w:val="12"/>
      </w:numPr>
      <w:spacing w:before="240" w:after="240" w:line="240" w:lineRule="auto"/>
      <w:outlineLvl w:val="1"/>
    </w:pPr>
    <w:rPr>
      <w:sz w:val="20"/>
    </w:rPr>
  </w:style>
  <w:style w:type="character" w:customStyle="1" w:styleId="LongQuestionParaChar">
    <w:name w:val="Long Question Para Char"/>
    <w:basedOn w:val="DefaultParagraphFont"/>
    <w:link w:val="LongQuestionPara"/>
    <w:rsid w:val="00073A2F"/>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073A2F"/>
    <w:pPr>
      <w:shd w:val="clear" w:color="auto" w:fill="D9D9D9" w:themeFill="background1" w:themeFillShade="D9"/>
      <w:tabs>
        <w:tab w:val="left" w:pos="270"/>
      </w:tabs>
      <w:spacing w:after="40" w:line="240" w:lineRule="auto"/>
      <w:outlineLvl w:val="1"/>
    </w:pPr>
    <w:rPr>
      <w:bCs/>
      <w:sz w:val="20"/>
    </w:rPr>
  </w:style>
  <w:style w:type="character" w:customStyle="1" w:styleId="ShortQuestionParaChar">
    <w:name w:val="Short Question Para Char"/>
    <w:basedOn w:val="DefaultParagraphFont"/>
    <w:link w:val="ShortQuestionPara"/>
    <w:rsid w:val="00073A2F"/>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073A2F"/>
    <w:rPr>
      <w:rFonts w:ascii="Arial" w:eastAsia="Arial Unicode MS" w:hAnsi="Arial" w:cs="Arial"/>
      <w:color w:val="000000"/>
      <w:szCs w:val="20"/>
      <w:lang w:eastAsia="en-US"/>
    </w:rPr>
  </w:style>
  <w:style w:type="paragraph" w:customStyle="1" w:styleId="811D3A974D454A258B71E3C4DE24C4F210">
    <w:name w:val="811D3A974D454A258B71E3C4DE24C4F210"/>
    <w:rsid w:val="002C3B64"/>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073A2F"/>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073A2F"/>
    <w:pPr>
      <w:jc w:val="center"/>
    </w:pPr>
    <w:rPr>
      <w:sz w:val="28"/>
    </w:rPr>
  </w:style>
  <w:style w:type="paragraph" w:customStyle="1" w:styleId="Title-Clause">
    <w:name w:val="Title - Clause"/>
    <w:aliases w:val="BIWS Heading 1"/>
    <w:basedOn w:val="Normal"/>
    <w:rsid w:val="00073A2F"/>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073A2F"/>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073A2F"/>
    <w:pPr>
      <w:spacing w:before="120"/>
    </w:pPr>
    <w:rPr>
      <w:b w:val="0"/>
    </w:rPr>
  </w:style>
  <w:style w:type="paragraph" w:customStyle="1" w:styleId="CoversheetParagraph">
    <w:name w:val="Coversheet Paragraph"/>
    <w:basedOn w:val="Normal"/>
    <w:autoRedefine/>
    <w:rsid w:val="00073A2F"/>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073A2F"/>
    <w:rPr>
      <w:smallCaps w:val="0"/>
      <w:sz w:val="22"/>
    </w:rPr>
  </w:style>
  <w:style w:type="paragraph" w:customStyle="1" w:styleId="CoversheetStaticText">
    <w:name w:val="Coversheet Static Text"/>
    <w:basedOn w:val="CoversheetIntro"/>
    <w:qFormat/>
    <w:rsid w:val="00073A2F"/>
    <w:rPr>
      <w:b w:val="0"/>
    </w:rPr>
  </w:style>
  <w:style w:type="paragraph" w:customStyle="1" w:styleId="CoversheetParty">
    <w:name w:val="Coversheet Party"/>
    <w:basedOn w:val="CoversheetIntro"/>
    <w:qFormat/>
    <w:rsid w:val="00073A2F"/>
  </w:style>
  <w:style w:type="paragraph" w:customStyle="1" w:styleId="NoNumUntitledClause">
    <w:name w:val="No Num Untitled Clause"/>
    <w:basedOn w:val="UntitledClause"/>
    <w:qFormat/>
    <w:rsid w:val="00073A2F"/>
    <w:pPr>
      <w:numPr>
        <w:numId w:val="0"/>
      </w:numPr>
      <w:ind w:left="720"/>
    </w:pPr>
  </w:style>
  <w:style w:type="paragraph" w:customStyle="1" w:styleId="BackgroundSubclause1">
    <w:name w:val="Background Subclause1"/>
    <w:basedOn w:val="Background"/>
    <w:qFormat/>
    <w:rsid w:val="00073A2F"/>
    <w:pPr>
      <w:numPr>
        <w:ilvl w:val="1"/>
      </w:numPr>
    </w:pPr>
  </w:style>
  <w:style w:type="paragraph" w:customStyle="1" w:styleId="BackgroundSubclause2">
    <w:name w:val="Background Subclause2"/>
    <w:basedOn w:val="Background"/>
    <w:qFormat/>
    <w:rsid w:val="00073A2F"/>
    <w:pPr>
      <w:numPr>
        <w:ilvl w:val="3"/>
      </w:numPr>
    </w:pPr>
  </w:style>
  <w:style w:type="paragraph" w:customStyle="1" w:styleId="HeadingLevel2CQA">
    <w:name w:val="Heading Level 2 CQA"/>
    <w:basedOn w:val="HeadingLevel2"/>
    <w:qFormat/>
    <w:rsid w:val="00073A2F"/>
  </w:style>
  <w:style w:type="paragraph" w:customStyle="1" w:styleId="ClauseBullet1">
    <w:name w:val="Clause Bullet 1"/>
    <w:basedOn w:val="ParaClause"/>
    <w:qFormat/>
    <w:rsid w:val="00073A2F"/>
    <w:pPr>
      <w:numPr>
        <w:numId w:val="13"/>
      </w:numPr>
      <w:ind w:left="1077" w:hanging="357"/>
      <w:outlineLvl w:val="0"/>
    </w:pPr>
  </w:style>
  <w:style w:type="paragraph" w:customStyle="1" w:styleId="ClauseBullet2">
    <w:name w:val="Clause Bullet 2"/>
    <w:basedOn w:val="ParaClause"/>
    <w:qFormat/>
    <w:rsid w:val="00073A2F"/>
    <w:pPr>
      <w:numPr>
        <w:numId w:val="14"/>
      </w:numPr>
      <w:ind w:left="1434" w:hanging="357"/>
      <w:outlineLvl w:val="1"/>
    </w:pPr>
  </w:style>
  <w:style w:type="paragraph" w:customStyle="1" w:styleId="subclause1Bullet1">
    <w:name w:val="subclause 1 Bullet 1"/>
    <w:basedOn w:val="Parasubclause1"/>
    <w:qFormat/>
    <w:rsid w:val="00073A2F"/>
    <w:pPr>
      <w:numPr>
        <w:numId w:val="15"/>
      </w:numPr>
      <w:ind w:left="1077" w:hanging="357"/>
    </w:pPr>
  </w:style>
  <w:style w:type="paragraph" w:customStyle="1" w:styleId="subclause2Bullet1">
    <w:name w:val="subclause 2 Bullet 1"/>
    <w:basedOn w:val="Parasubclause2"/>
    <w:qFormat/>
    <w:rsid w:val="00073A2F"/>
    <w:pPr>
      <w:numPr>
        <w:numId w:val="17"/>
      </w:numPr>
      <w:ind w:left="1434" w:hanging="357"/>
    </w:pPr>
  </w:style>
  <w:style w:type="paragraph" w:customStyle="1" w:styleId="subclause3Bullet1">
    <w:name w:val="subclause 3 Bullet 1"/>
    <w:basedOn w:val="Parasubclause3"/>
    <w:qFormat/>
    <w:rsid w:val="00073A2F"/>
    <w:pPr>
      <w:numPr>
        <w:numId w:val="16"/>
      </w:numPr>
      <w:ind w:left="2273" w:hanging="357"/>
    </w:pPr>
  </w:style>
  <w:style w:type="paragraph" w:customStyle="1" w:styleId="subclause1Bullet2">
    <w:name w:val="subclause 1 Bullet 2"/>
    <w:basedOn w:val="Parasubclause1"/>
    <w:qFormat/>
    <w:rsid w:val="00073A2F"/>
    <w:pPr>
      <w:numPr>
        <w:numId w:val="18"/>
      </w:numPr>
      <w:ind w:left="1434" w:hanging="357"/>
    </w:pPr>
  </w:style>
  <w:style w:type="paragraph" w:customStyle="1" w:styleId="subclause2Bullet2">
    <w:name w:val="subclause 2 Bullet 2"/>
    <w:basedOn w:val="Parasubclause2"/>
    <w:qFormat/>
    <w:rsid w:val="00073A2F"/>
    <w:pPr>
      <w:numPr>
        <w:numId w:val="19"/>
      </w:numPr>
      <w:ind w:left="2273" w:hanging="357"/>
    </w:pPr>
  </w:style>
  <w:style w:type="paragraph" w:customStyle="1" w:styleId="subclause3Bullet2">
    <w:name w:val="subclause 3 Bullet 2"/>
    <w:basedOn w:val="Parasubclause3"/>
    <w:qFormat/>
    <w:rsid w:val="00073A2F"/>
    <w:pPr>
      <w:numPr>
        <w:numId w:val="20"/>
      </w:numPr>
      <w:ind w:left="2982" w:hanging="357"/>
    </w:pPr>
  </w:style>
  <w:style w:type="paragraph" w:customStyle="1" w:styleId="DefinedTermBullet">
    <w:name w:val="Defined Term Bullet"/>
    <w:basedOn w:val="DefinedTermPara"/>
    <w:qFormat/>
    <w:rsid w:val="00073A2F"/>
    <w:pPr>
      <w:numPr>
        <w:numId w:val="21"/>
      </w:numPr>
    </w:pPr>
  </w:style>
  <w:style w:type="paragraph" w:customStyle="1" w:styleId="DefinedTermNumber">
    <w:name w:val="Defined Term Number"/>
    <w:basedOn w:val="DefinedTermPara"/>
    <w:qFormat/>
    <w:rsid w:val="00073A2F"/>
    <w:pPr>
      <w:numPr>
        <w:ilvl w:val="1"/>
      </w:numPr>
    </w:pPr>
  </w:style>
  <w:style w:type="paragraph" w:customStyle="1" w:styleId="AdditionalTitle">
    <w:name w:val="Additional Title"/>
    <w:basedOn w:val="Paragraph"/>
    <w:qFormat/>
    <w:rsid w:val="00073A2F"/>
    <w:pPr>
      <w:jc w:val="left"/>
    </w:pPr>
    <w:rPr>
      <w:b/>
    </w:rPr>
  </w:style>
  <w:style w:type="character" w:customStyle="1" w:styleId="error">
    <w:name w:val="error"/>
    <w:basedOn w:val="DefaultParagraphFont"/>
    <w:rsid w:val="00073A2F"/>
    <w:rPr>
      <w:color w:val="000000"/>
    </w:rPr>
  </w:style>
  <w:style w:type="paragraph" w:customStyle="1" w:styleId="NoNumUntitledsubclause1">
    <w:name w:val="No Num Untitled subclause 1"/>
    <w:basedOn w:val="Untitledsubclause1"/>
    <w:qFormat/>
    <w:rsid w:val="00073A2F"/>
    <w:pPr>
      <w:numPr>
        <w:ilvl w:val="0"/>
        <w:numId w:val="0"/>
      </w:numPr>
      <w:ind w:left="720"/>
    </w:pPr>
  </w:style>
  <w:style w:type="paragraph" w:customStyle="1" w:styleId="BackgroundParaClause">
    <w:name w:val="Background Para Clause"/>
    <w:basedOn w:val="Background"/>
    <w:qFormat/>
    <w:rsid w:val="00073A2F"/>
    <w:pPr>
      <w:numPr>
        <w:numId w:val="0"/>
      </w:numPr>
    </w:pPr>
  </w:style>
  <w:style w:type="paragraph" w:customStyle="1" w:styleId="BackgroundParaSubclause1">
    <w:name w:val="Background Para Subclause1"/>
    <w:basedOn w:val="BackgroundSubclause1"/>
    <w:qFormat/>
    <w:rsid w:val="00073A2F"/>
    <w:pPr>
      <w:numPr>
        <w:ilvl w:val="0"/>
        <w:numId w:val="0"/>
      </w:numPr>
      <w:ind w:left="994"/>
    </w:pPr>
  </w:style>
  <w:style w:type="paragraph" w:customStyle="1" w:styleId="BackgroundParaSubclause2">
    <w:name w:val="Background Para Subclause2"/>
    <w:basedOn w:val="BackgroundSubclause2"/>
    <w:qFormat/>
    <w:rsid w:val="00073A2F"/>
    <w:pPr>
      <w:numPr>
        <w:ilvl w:val="0"/>
        <w:numId w:val="0"/>
      </w:numPr>
      <w:ind w:left="1701"/>
    </w:pPr>
  </w:style>
  <w:style w:type="paragraph" w:customStyle="1" w:styleId="ClauseBulletPara">
    <w:name w:val="Clause Bullet Para"/>
    <w:basedOn w:val="ClauseBullet1"/>
    <w:qFormat/>
    <w:rsid w:val="00073A2F"/>
    <w:pPr>
      <w:numPr>
        <w:numId w:val="0"/>
      </w:numPr>
      <w:ind w:left="1080"/>
    </w:pPr>
  </w:style>
  <w:style w:type="paragraph" w:customStyle="1" w:styleId="ClauseBullet2Para">
    <w:name w:val="Clause Bullet 2 Para"/>
    <w:basedOn w:val="ClauseBullet2"/>
    <w:qFormat/>
    <w:rsid w:val="00073A2F"/>
    <w:pPr>
      <w:numPr>
        <w:numId w:val="0"/>
      </w:numPr>
      <w:ind w:left="1440"/>
    </w:pPr>
  </w:style>
  <w:style w:type="paragraph" w:customStyle="1" w:styleId="ACTJurisdictionCheckList">
    <w:name w:val="ACTJurisdictionCheckList"/>
    <w:basedOn w:val="Normal"/>
    <w:rsid w:val="00073A2F"/>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073A2F"/>
  </w:style>
  <w:style w:type="paragraph" w:customStyle="1" w:styleId="ScheduleTitleClause">
    <w:name w:val="Schedule Title Clause"/>
    <w:basedOn w:val="Normal"/>
    <w:rsid w:val="00073A2F"/>
    <w:pPr>
      <w:keepNext/>
      <w:numPr>
        <w:ilvl w:val="2"/>
        <w:numId w:val="22"/>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073A2F"/>
    <w:pPr>
      <w:numPr>
        <w:ilvl w:val="3"/>
        <w:numId w:val="22"/>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073A2F"/>
    <w:pPr>
      <w:numPr>
        <w:ilvl w:val="4"/>
        <w:numId w:val="22"/>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073A2F"/>
    <w:pPr>
      <w:numPr>
        <w:ilvl w:val="5"/>
        <w:numId w:val="22"/>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073A2F"/>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073A2F"/>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073A2F"/>
    <w:pPr>
      <w:shd w:val="clear" w:color="auto" w:fill="D9D9D9" w:themeFill="background1" w:themeFillShade="D9"/>
      <w:ind w:left="1077"/>
    </w:pPr>
  </w:style>
  <w:style w:type="paragraph" w:customStyle="1" w:styleId="ScheduleUntitledClause">
    <w:name w:val="Schedule Untitled Clause"/>
    <w:basedOn w:val="ScheduleTitleClause"/>
    <w:qFormat/>
    <w:rsid w:val="00073A2F"/>
    <w:pPr>
      <w:spacing w:before="120"/>
    </w:pPr>
    <w:rPr>
      <w:b w:val="0"/>
    </w:rPr>
  </w:style>
  <w:style w:type="paragraph" w:customStyle="1" w:styleId="EmptyClausePara">
    <w:name w:val="Empty Clause Para"/>
    <w:basedOn w:val="IgnoredSpacing"/>
    <w:qFormat/>
    <w:rsid w:val="00073A2F"/>
  </w:style>
  <w:style w:type="paragraph" w:styleId="ListParagraph">
    <w:name w:val="List Paragraph"/>
    <w:basedOn w:val="Normal"/>
    <w:uiPriority w:val="34"/>
    <w:qFormat/>
    <w:rsid w:val="00073A2F"/>
    <w:pPr>
      <w:ind w:left="720"/>
      <w:contextualSpacing/>
    </w:pPr>
    <w:rPr>
      <w:color w:val="000000"/>
    </w:rPr>
  </w:style>
  <w:style w:type="paragraph" w:customStyle="1" w:styleId="ScheduleTitlesubclause1">
    <w:name w:val="Schedule Title subclause1"/>
    <w:basedOn w:val="ScheduleUntitledsubclause1"/>
    <w:qFormat/>
    <w:rsid w:val="00073A2F"/>
    <w:pPr>
      <w:spacing w:before="120"/>
    </w:pPr>
    <w:rPr>
      <w:b/>
    </w:rPr>
  </w:style>
  <w:style w:type="paragraph" w:customStyle="1" w:styleId="835FF0B0D5344FE4A8EE41F54AA7E17C16">
    <w:name w:val="835FF0B0D5344FE4A8EE41F54AA7E17C16"/>
    <w:rsid w:val="005779AE"/>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156C04"/>
    <w:rPr>
      <w:color w:val="000000"/>
      <w:shd w:val="clear" w:color="auto" w:fill="E6E6E6"/>
    </w:rPr>
  </w:style>
  <w:style w:type="paragraph" w:styleId="CommentText">
    <w:name w:val="annotation text"/>
    <w:basedOn w:val="Normal"/>
    <w:link w:val="CommentTextChar"/>
    <w:uiPriority w:val="99"/>
    <w:unhideWhenUsed/>
    <w:rsid w:val="002B1E2C"/>
    <w:pPr>
      <w:spacing w:line="240" w:lineRule="auto"/>
    </w:pPr>
    <w:rPr>
      <w:color w:val="000000"/>
      <w:sz w:val="20"/>
      <w:szCs w:val="20"/>
    </w:rPr>
  </w:style>
  <w:style w:type="character" w:customStyle="1" w:styleId="CommentTextChar">
    <w:name w:val="Comment Text Char"/>
    <w:basedOn w:val="DefaultParagraphFont"/>
    <w:link w:val="CommentText"/>
    <w:uiPriority w:val="99"/>
    <w:rsid w:val="002B1E2C"/>
    <w:rPr>
      <w:color w:val="000000"/>
      <w:sz w:val="20"/>
      <w:szCs w:val="20"/>
    </w:rPr>
  </w:style>
  <w:style w:type="character" w:styleId="CommentReference">
    <w:name w:val="annotation reference"/>
    <w:basedOn w:val="DefaultParagraphFont"/>
    <w:uiPriority w:val="99"/>
    <w:semiHidden/>
    <w:unhideWhenUsed/>
    <w:rsid w:val="002B1E2C"/>
    <w:rPr>
      <w:color w:val="000000"/>
      <w:sz w:val="16"/>
      <w:szCs w:val="16"/>
    </w:rPr>
  </w:style>
  <w:style w:type="paragraph" w:customStyle="1" w:styleId="SectorSpecificNoteTitle">
    <w:name w:val="Sector Specific Note Title"/>
    <w:basedOn w:val="JurisdictionDraftingnoteTitle"/>
    <w:qFormat/>
    <w:rsid w:val="00073A2F"/>
  </w:style>
  <w:style w:type="table" w:customStyle="1" w:styleId="ShadedTable1">
    <w:name w:val="Shaded Table1"/>
    <w:basedOn w:val="TableNormal"/>
    <w:uiPriority w:val="99"/>
    <w:rsid w:val="00073A2F"/>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073A2F"/>
    <w:rPr>
      <w:color w:val="000000"/>
    </w:rPr>
  </w:style>
  <w:style w:type="character" w:customStyle="1" w:styleId="IgnoredEmptysubclauseChar">
    <w:name w:val="Ignored Empty subclause Char"/>
    <w:basedOn w:val="DefaultParagraphFont"/>
    <w:link w:val="IgnoredEmptysubclause"/>
    <w:rsid w:val="00073A2F"/>
    <w:rPr>
      <w:color w:val="000000"/>
    </w:rPr>
  </w:style>
  <w:style w:type="character" w:styleId="Strong">
    <w:name w:val="Strong"/>
    <w:basedOn w:val="DefaultParagraphFont"/>
    <w:uiPriority w:val="22"/>
    <w:qFormat/>
    <w:rsid w:val="000A52DF"/>
    <w:rPr>
      <w:b/>
      <w:bCs/>
      <w:color w:val="000000"/>
    </w:rPr>
  </w:style>
  <w:style w:type="paragraph" w:customStyle="1" w:styleId="6B1115FCC3DC4C6AB2CF846F0C50B663">
    <w:name w:val="6B1115FCC3DC4C6AB2CF846F0C50B663"/>
    <w:rsid w:val="001B62BF"/>
    <w:pPr>
      <w:spacing w:line="276" w:lineRule="auto"/>
    </w:pPr>
    <w:rPr>
      <w:color w:val="000000"/>
    </w:rPr>
  </w:style>
  <w:style w:type="paragraph" w:styleId="Revision">
    <w:name w:val="Revision"/>
    <w:hidden/>
    <w:uiPriority w:val="99"/>
    <w:semiHidden/>
    <w:rsid w:val="002740BA"/>
    <w:pPr>
      <w:spacing w:after="0" w:line="240" w:lineRule="auto"/>
    </w:pPr>
    <w:rPr>
      <w:color w:val="000000"/>
    </w:rPr>
  </w:style>
  <w:style w:type="paragraph" w:styleId="CommentSubject">
    <w:name w:val="annotation subject"/>
    <w:basedOn w:val="CommentText"/>
    <w:next w:val="CommentText"/>
    <w:link w:val="CommentSubjectChar"/>
    <w:uiPriority w:val="99"/>
    <w:semiHidden/>
    <w:unhideWhenUsed/>
    <w:rsid w:val="0036686B"/>
    <w:rPr>
      <w:b/>
      <w:bCs/>
    </w:rPr>
  </w:style>
  <w:style w:type="character" w:customStyle="1" w:styleId="CommentSubjectChar">
    <w:name w:val="Comment Subject Char"/>
    <w:basedOn w:val="CommentTextChar"/>
    <w:link w:val="CommentSubject"/>
    <w:uiPriority w:val="99"/>
    <w:semiHidden/>
    <w:rsid w:val="0036686B"/>
    <w:rPr>
      <w:b/>
      <w:bCs/>
      <w:color w:val="000000"/>
      <w:sz w:val="20"/>
      <w:szCs w:val="20"/>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AA51F1-1455-458C-AE97-D3034F685C5D}">
  <we:reference id="f667366f-a96b-4e15-be85-3df578a79a36" version="1.0.0.0" store="developer" storeType="Registry"/>
  <we:alternateReferences/>
  <we:properties>
    <we:property name="conversation_history" value="&quot;[{\&quot;id\&quot;:\&quot;mj1inx2jvsj2bznvp5\&quot;,\&quot;timestamp\&quot;:\&quot;2025-12-11T14:11:29.707Z\&quot;,\&quot;promptType\&quot;:\&quot;Custom\&quot;,\&quot;originalText\&quot;:\&quot;In return for Analyst AI making Confidential Information available to Bristol Capital, Bristol Capit...\&quot;,\&quot;resultText\&quot;:\&quot;&lt;para&gt;In return for Analyst AI making Confidential Information available to Bristol Capital, Bristol Capital undertakes to Analyst AI that it shall:&lt;/para&gt;\\n&lt;list_lvl_1 type=\\\&quot;bulleted\\\&quot;&gt;keep the Confidential Information secret and confidential;&lt;/list_lvl_1&gt;\\n&lt;list_lvl_1 type=\\\&quot;bulleted\\\&quot;&gt;not use or exploit the Confidential Information in any way except for the Purpose;&lt;/list_lvl_1&gt;\\n&lt;list_lvl_1 type=\\\&quot;bulleted\\\&quot;&gt;not directly or indirectly disclose or make available any Confidential Information in whole or in part to any person, except as expressly permitted by, and in accordance with this agreement; and&lt;/list_lvl_1&gt;\\n&lt;list_lvl_1 type=\\\&quot;bulleted\\\&quot;&gt;ensure that any document or other records containing Confidential Information shall be kept at its premises at 20 Longfellow Road, London, SW11 9GO and shall not remove or allow those documents and records to be moved from those premises, except as reasonably necessary for the evaluation of this project.&lt;/list_lvl_1&gt;\\n&lt;para&gt;Bristol Capital shall establish and maintain adequate measures, at its reasonable discretion, to safeguard the Confidential Information from unauthorised access or use.&lt;/para&gt;\\n&lt;para&gt;Analyst AI also undertakes to Bristol Capital that it shall keep the following secret and confidential: (a) that Bristol Capital is contemplating this project, (b) the existence of this agreement, and (c) any other sensitive information that Bristol Capital discloses to Analyst AI.&lt;/para&gt;\&quot;,\&quot;thoughtSummaries\&quot;:[{\&quot;type\&quot;:\&quot;header_content_pair\&quot;,\&quot;header\&quot;:\&quot;Defining Revision Scope\&quot;,\&quot;content\&quot;:\&quot;I'm zeroing in on the revision scope. My focus is on addressing the user's comments sequentially. Right now, I'm fleshing out the response to Comment 1, which necessitates new text. I'm taking into account the reciprocal nature of the confidentiality obligations.\&quot;},{\&quot;type\&quot;:\&quot;header_content_pair\&quot;,\&quot;header\&quot;:\&quot;Charting the Course\&quot;,\&quot;content\&quot;:\&quot;I've got the revision workflow down, and I'm actively working on addressing the user's points. Right now, I am going through the text structure to prep for implementing the changes. I am also planning the wording for the reciprocal confidentiality obligations for Analyst AI, mirroring the existing structure, and crafting the language for the modification of the premises clause and security measures paragraph.\&quot;},{\&quot;type\&quot;:\&quot;header_content_pair\&quot;,\&quot;header\&quot;:\&quot;Outlining Reciprocity\&quot;,\&quot;content\&quot;:\&quot;I'm now generating text for Analyst AI's reciprocal obligations. The plan is solidified: draft a new paragraph mirroring Bristol Capital's undertakings. I have specified the confidential information: project contemplation, agreement existence, and other sensitive disclosures from Bristol Capital. Next, I will place this appropriately in the document.\&quot;},{\&quot;type\&quot;:\&quot;header_content_pair\&quot;,\&quot;header\&quot;:\&quot;Drafting the Reciprocal Clause\&quot;,\&quot;content\&quot;:\&quot;My immediate task is to generate the reciprocal confidentiality clause for Analyst AI. I'm focusing on ensuring it mirrors the original structure while incorporating the user's specific requirements. I'm currently drafting the text that defines what Analyst AI must keep confidential – project contemplation, agreement existence, and any other sensitive data from Bristol Capital. I am also determining how to phrase the introductory sentence for the new clause.\&quot;},{\&quot;type\&quot;:\&quot;header_content_pair\&quot;,\&quot;header\&quot;:\&quot;Analyzing Implementation Strategy\&quot;,\&quot;content\&quot;:\&quot;I'm now charting the practical steps for integrating the user's feedback, starting with the Analyst AI's reciprocal obligations. I've formulated a draft paragraph detailing Analyst AI's commitment to confidentiality concerning Bristol Capital's proprietary information. This draft addresses the specific stipulations outlined in the user's comments, ready for integration. Next, I'll address the premises clause, adjusting it as needed to incorporate the changes.\&quot;},{\&quot;type\&quot;:\&quot;header_content_pair\&quot;,\&quot;header\&quot;:\&quot;Confirming the Structure\&quot;,\&quot;content\&quot;:\&quot;I've mapped out the key revisions: adding Analyst AI's confidentiality commitments, modifying the premises clause, and adjusting the security measures paragraph. I'm focusing on drafting the text that defines the confidential information for Analyst AI. The plan is to insert the new clause after the Bristol Capital's undertaking, then address the other changes. I'm aiming for clarity and parallelism in the new text.\&quot;},{\&quot;type\&quot;:\&quot;header_content_pair\&quot;,\&quot;header\&quot;:\&quot;Planning Revisions Implementation\&quot;,\&quot;content\&quot;:\&quot;The immediate task involves implementing the user's feedback. I'm focusing on crafting the Analyst AI reciprocal confidentiality clause. I will then adjust the premises clause, and finally, revise the security measures paragraph. I am carefully examining the structure of the existing document to integrate the changes coherently.\&quot;},{\&quot;type\&quot;:\&quot;header_content_pair\&quot;,\&quot;header\&quot;:\&quot;Formulating Text for Analyst AI\&quot;,\&quot;content\&quot;:\&quot;I'm now focused on drafting the specific reciprocal obligations for Analyst AI, based on the user's guidance. The aim is to create a new paragraph immediately following Bristol Capital's existing undertakings. This is where I'll detail Analyst AI's commitment to protect Bristol Capital's confidential information – namely, project contemplation, the agreement's existence, and any sensitive data disclosed. I'm also preparing to adapt the premises clause and security measures.\&quot;},{\&quot;type\&quot;:\&quot;header_content_pair\&quot;,\&quot;header\&quot;:\&quot;Planning the Integration\&quot;,\&quot;content\&quot;:\&quot;The work now focuses on integrating the revisions, which I've fully drafted, including the new Analyst AI clause, the premises modification, and the updated security measures. My next step involves inserting the Analyst AI undertakings paragraph directly after Bristol Capital's obligations. I will then perform the other revisions, ensuring the document flows and is logically consistent.\&quot;}],\&quot;status\&quot;:\&quot;pending\&quot;}]&quot;"/>
    <we:property name="lexie_doc_instance_id" value="&quot;C:\\Users\\M Usman\\Downloads\\NDA Demo - Analyst AI x Bristol Capital cleaned.doc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Confidentiality agreement (one-way; pro-discloser)</title>
        <author>
          <link href="http://www.practicallaw.com/about/our-team/uk-commercial" style="ACTLinkURL">
            <ital>Practical Law Commercial</ital>
          </link>
        </author>
        <resource.type>Standard documents</resource.type>
        <juris>juris0</juris>
        <juris>juris1</juris>
      </prelim>
      <abstract>
        <para>
          <paratext>A one-way confidentiality agreement (also known as a non-disclosure agreement or NDA) for general commercial purposes, drafted from the discloser's perspective.</paratext>
        </para>
      </abstract>
      <toc.identifier hasToc="true"/>
      <body>
        <drafting.note id="a477209" jurisdiction="">
          <head align="left" preservecase="true">
            <headtext>About this document</headtext>
          </head>
          <division id="a000005" level="1">
            <para>
              <paratext>This one-way confidentiality (or non-disclosure) agreement (NDA) is drafted from the discloser's perspective and can be used where the disclosure of confidential information is for a defined purpose. This will usually be a project that the parties are considering undertaking together.</paratext>
            </para>
          </division>
          <division id="a128770" level="1">
            <head align="left" preservecase="true">
              <headtext>Purpose of confidentiality agreements</headtext>
            </head>
            <para>
              <paratext>Confidentiality agreements, also known as non-disclosure agreements (NDAs), aim to ensure the following:</paratext>
            </para>
            <list type="bulleted">
              <list.item>
                <para>
                  <paratext>
                    <bold>Preservation of confidentiality.</bold>
                     Confidential information disclosed under the agreement remains confidential and kept secret.
                  </paratext>
                </para>
              </list.item>
              <list.item>
                <para>
                  <paratext>
                    <bold>Use for defined purpose only.</bold>
                     The recipient of confidential information agrees that it will not use the information for any purpose that is not set out in the confidentiality agreement.
                  </paratext>
                </para>
              </list.item>
            </list>
          </division>
          <division id="a408451" level="1">
            <head align="left" preservecase="true">
              <headtext>Legal issues</headtext>
            </head>
            <para>
              <paratext>
                The key legal issues to consider in the context of confidentiality agreements are set out below. For more information on the law of confidentiality, see 
                <link href="8-384-4456" style="ACTLinkPLCtoPLC">
                  <ital>Practice note, Protecting confidential information: overview</ital>
                </link>
                .
              </paratext>
            </para>
            <division id="a711821" level="2">
              <head align="left" preservecase="true">
                <headtext>Limitations of confidentiality agreements</headtext>
              </head>
              <division id="a330145" level="3">
                <head align="left" preservecase="true">
                  <headtext>Remedies for breach and practical steps</headtext>
                </head>
                <para>
                  <paratext>The discloser should be aware that a confidentiality agreement cannot provide an absolute guarantee that the disclosed information will be protected. A confidentiality agreement has limitations, particularly where the recipient has little intention of complying with its obligations under the agreement. If a recipient uses or discloses confidential information in breach of the confidentiality agreement, it may be too late, or at the very least, prohibitively expensive, for the discloser to seek a meaningful remedy:</paratext>
                </para>
                <list type="bulleted">
                  <list.item>
                    <para>
                      <paratext>
                        An injunction (to stop any unauthorised disclosure or use of the information) is the first choice of remedy if the discloser discovers the recipient's intentions before it breaches the confidentiality agreement. After the breach, an injunction may be of little or no use. Once the information has entered the public domain, there is no legal remedy that will make it secret again. See also 
                        <internal.reference refid="a606571">Drafting note, Inadequacy of damages</internal.reference>
                         at 
                        <internal.reference refid="a598979">clause 9</internal.reference>
                        .
                      </paratext>
                    </para>
                  </list.item>
                  <list.item>
                    <para>
                      <paratext>Damages for breach of contract (or a claim for an account of profits where the recipient has made use of the information) may not be an adequate remedy, especially where the confidential information has potential future value rather than value today.</paratext>
                    </para>
                  </list.item>
                  <list.item>
                    <para>
                      <paratext>Proving that there has been a breach of confidentiality agreement can often be difficult.</paratext>
                    </para>
                  </list.item>
                  <list.item>
                    <para>
                      <paratext>Even where the recipient is honest and acting in good faith, it will inevitably be influenced by the disclosed confidential information, whatever the terms of the confidentiality agreement.</paratext>
                    </para>
                  </list.item>
                </list>
                <para>
                  <paratext>
                    Given these limitations, a discloser should, in addition to entering into the agreement, put practical measures in place to protect the information. For example, disclosing only what is absolutely necessary, providing hard copies of information only, or limiting the number of individuals who may receive the information. For more information, see 
                    <link anchor="a550821" href="8-384-4456" style="ACTLinkPLCtoPLC">
                      <ital>Practice note, Protecting confidential information: overview: Practical steps to establish and maintain confidentiality</ital>
                    </link>
                    .
                  </paratext>
                </para>
              </division>
              <division id="a551815" level="3">
                <head align="left" preservecase="true">
                  <headtext>Trade secrets and taking reasonable steps</headtext>
                </head>
                <para>
                  <paratext>
                    Specifically for the protection of trade secrets (which is a type of confidential information that gives its owner a competitive advantage, such as the Coca-cola recipe), putting practical measures in place and evidencing them has arguably become more important since the 
                    <link href="w-014-9127" style="ACTLinkPLCtoPLC">
                      <ital>Trade Secrets (Enforcement, etc.) Regulations 2018 (SI 2018/597)</ital>
                    </link>
                     (Trade Secrets Regulations) came into force in 2018. The Trade Secrets Regulations implemented the 
                    <link href="w-015-1298" style="ACTLinkPLCtoPLC">
                      <ital>Trade Secrets Directive (EU) 2016/943</ital>
                    </link>
                    <ital> </ital>
                    in the UK, and introduced a statutory regime of protecting trade secrets. This statutory protection is intended to co-exist with the more traditional form of protection of trade secrets offered by the equitable doctrine of confidence. The two regimes are intended to be separate legal systems that exist in parallel.
                  </paratext>
                </para>
                <para>
                  <paratext>
                    As a consequence of the Trade Secrets Regulations introducing a new statutory definition of 'trade secret' (
                    <link href="w-014-9386" style="ACTLinkPLCtoPLC">
                      <ital>regulation 2</ital>
                    </link>
                    ) involving a requirement on the legal owner to take "reasonable steps under the circumstances to keep it secret", evidencing such practical steps may be all the more important, at least for the protection of trade secrets in any event.
                  </paratext>
                </para>
                <para>
                  <paratext>
                    For further information see 
                    <link href="w-021-1676" style="ACTLinkPLCtoPLC">
                      <ital>Practice note, Protecting trade secrets: overview</ital>
                    </link>
                    .
                  </paratext>
                </para>
                <para>
                  <paratext>
                    Also see 
                    <internal.reference refid="a664461">Drafting note, Trade secrets</internal.reference>
                    .
                  </paratext>
                </para>
              </division>
              <division id="a987092" level="3">
                <head align="left" preservecase="true">
                  <headtext>Public interest considerations</headtext>
                </head>
                <para>
                  <paratext>In certain circumstances, public interest considerations may override confidentiality obligations. For example, where the disclosed information reveals details of crimes or torts committed by the provider of the information.</paratext>
                </para>
                <para>
                  <paratext>
                    In 
                    <link href="D-015-4542" style="ACTLinkPLCtoPLC">
                      <ital>Lion Laboratories Ltd v Evans [1985] Q.B. 526</ital>
                    </link>
                    , Stephenson LJ explained this in terms of a conflict of interest. On the one hand, there is a public interest in preserving the right of organisations and individuals to keep their affairs private and their information confidential. On the other hand, however, the court will examine individual cases carefully if it appears that this interest may be outweighed by a wider interest in making the information available to the general public. If such a case is made out, the discloser will be able to raise a successful defence to a claim that they have revealed confidential information in breach of contractual obligations. This could be relevant where a party who receives confidential information suspects bribery on the part of the disclosing party, and subsequently reports this to the Serious Fraud Office. See the integrated drafting notes relating to permitted disclosure at 
                    <internal.reference refid="a420225">clause 4</internal.reference>
                    .
                  </paratext>
                </para>
                <para>
                  <paratext>
                    For more information on public interest considerations, see 
                    <link anchor="a523578" href="8-384-4456" style="ACTLinkPLCtoPLC">
                      <ital>Practice note, Protecting confidential information: overview: Confidentiality obligations and the public interest (iniquity defence)</ital>
                    </link>
                    .
                  </paratext>
                </para>
              </division>
            </division>
            <division id="a140597" level="2">
              <head align="left" preservecase="true">
                <headtext>Solicitors' regulatory obligations relating to use of NDAs</headtext>
              </head>
              <para>
                <paratext>
                  The Solicitors Regulation Authority (SRA)’s 
                  <link href="https://nam02.safelinks.protection.outlook.com/?url=https%3A%2F%2Fwww.sra.org.uk%2Fsolicitors%2Fguidance%2Fnon-disclosure-agreements-ndas%2F&amp;amp;data=05%7C02%7CSarah.Wild%40thomsonreuters.com%7C435c14d682524e2cf8c508dcccb40f9d%7C62ccb8646a1a4b5d8e1c397dec1a8258%7C0%7C0%7C638610320936235128%7CUnknown%7CTWFpbGZsb3d8eyJWIjoiMC4wLjAwMDAiLCJQIjoiV2luMzIiLCJBTiI6Ik1haWwiLCJXVCI6Mn0%3D%7C0%7C%7C%7C&amp;amp;sdata=zwnY3URoTAG3nu1zhrgE6FFSA%2F4UGp%2BQwTSJzpgXHd8%3D&amp;amp;reserved=0" style="ACTLinkURL">
                    <ital>warning notice</ital>
                  </link>
                   (Warning Notice) reminds practitioners of the key issues and risks associated with using or advising on the use of NDAs and confidentiality clauses in any form of agreement or contract.
                </paratext>
              </para>
              <para>
                <paratext>Although the Warning Notice was initially published against the backdrop of the #MeToo campaign and the practice of using NDAs in settlement arrangements as a means of deterring victims of sexual harassment from disclosing details of the misconduct to the authorities, it is not confined to this particular use case, and the Warning Notice is:</paratext>
              </para>
              <list type="bulleted">
                <list.item>
                  <para>
                    <paratext>Relevant to all NDAs regardless of the context in which the NDA arises, including commercial transactions.</paratext>
                  </para>
                </list.item>
                <list.item>
                  <para>
                    <paratext>Applicable even though all parties to the NDA are legally represented, and irrespective of whether the parties are individuals or companies.</paratext>
                  </para>
                </list.item>
                <list.item>
                  <para>
                    <paratext>Directed at anyone who is regulated by the SRA and might negotiate, draft, advise on, enforce or be a party to an NDA.</paratext>
                  </para>
                </list.item>
              </list>
              <para>
                <paratext>Among other things, the Warning Notice highlights that:</paratext>
              </para>
              <list type="bulleted">
                <list.item>
                  <para>
                    <paratext>
                      The use of NDAs is not prohibited by the Warning Notice or the SRA's 
                      <link href="https://www.sra.org.uk/solicitors/standards-regulations/" style="ACTLinkURL">
                        <ital>Standards and Regulations</ital>
                      </link>
                      . However, when acting for a client in a matter involving an NDA, practitioners must comply with their regulatory obligations and should have specific regard to paragraphs 2, 3, 7.5 and 7.7 of the 
                      <link href="https://nam02.safelinks.protection.outlook.com/?url=https%3A%2F%2Fwww.sra.org.uk%2Fsolicitors%2Fstandards-regulations%2Fcode-conduct-solicitors%2F&amp;amp;data=05%7C02%7CSarah.Wild%40thomsonreuters.com%7C435c14d682524e2cf8c508dcccb40f9d%7C62ccb8646a1a4b5d8e1c397dec1a8258%7C0%7C0%7C638610320936251962%7CUnknown%7CTWFpbGZsb3d8eyJWIjoiMC4wLjAwMDAiLCJQIjoiV2luMzIiLCJBTiI6Ik1haWwiLCJXVCI6Mn0%3D%7C0%7C%7C%7C&amp;amp;sdata=2QKa%2Fj8LDpN3zyKJod4McDxxNu76x0pATuTgVbNT9To%3D&amp;amp;reserved=0" style="ACTLinkURL">
                        <ital>SRA Code of Conduct for Solicitors, RELs and RFLs</ital>
                      </link>
                       and paragraphs 1.2, 3.2, 3.9 and 3.10 of the 
                      <link href="https://nam02.safelinks.protection.outlook.com/?url=https%3A%2F%2Fwww.sra.org.uk%2Fsolicitors%2Fstandards-regulations%2Fcode-conduct-firms%2F&amp;amp;data=05%7C02%7CSarah.Wild%40thomsonreuters.com%7C435c14d682524e2cf8c508dcccb40f9d%7C62ccb8646a1a4b5d8e1c397dec1a8258%7C0%7C0%7C638610320936265954%7CUnknown%7CTWFpbGZsb3d8eyJWIjoiMC4wLjAwMDAiLCJQIjoiV2luMzIiLCJBTiI6Ik1haWwiLCJXVCI6Mn0%3D%7C0%7C%7C%7C&amp;amp;sdata=s6nv7XEbjQStLzVMe1f1%2FgvwG9tjExQOwpW4gbUM%2FoM%3D&amp;amp;reserved=0" style="ACTLinkURL">
                        <ital>Code of Conduct for Firms</ital>
                      </link>
                      .
                    </paratext>
                  </para>
                </list.item>
                <list.item>
                  <para>
                    <paratext>
                      Failure to comply with the applicable regulatory obligations or improperly using NDAs may put practitioners in breach of one or more of the 
                      <link href="https://nam02.safelinks.protection.outlook.com/?url=https%3A%2F%2Fwww.sra.org.uk%2Fsolicitors%2Fstandards-regulations%2Fprinciples%2F&amp;amp;data=05%7C02%7CSarah.Wild%40thomsonreuters.com%7C435c14d682524e2cf8c508dcccb40f9d%7C62ccb8646a1a4b5d8e1c397dec1a8258%7C0%7C0%7C638610320936275928%7CUnknown%7CTWFpbGZsb3d8eyJWIjoiMC4wLjAwMDAiLCJQIjoiV2luMzIiLCJBTiI6Ik1haWwiLCJXVCI6Mn0%3D%7C0%7C%7C%7C&amp;amp;sdata=edM0WCHAIMy4%2Frmj3%2BrwuuYxh%2BuR5kpEBuJxc97ErTo%3D&amp;amp;reserved=0" style="ACTLinkURL">
                        <ital>SRA Principles</ital>
                      </link>
                      . A practitioner who uses an NDA improperly or behaves in a way that is in breach of their regulatory obligations is at risk of disciplinary action by the SRA.
                    </paratext>
                  </para>
                </list.item>
                <list.item>
                  <para>
                    <paratext>The SRA considers it improper to use an NDA as a means of preventing, or seeking to impede or deter a person from:</paratext>
                  </para>
                  <list type="bulleted">
                    <list.item>
                      <para>
                        <paratext>co-operating with a criminal investigation or prosecution;</paratext>
                      </para>
                    </list.item>
                    <list.item>
                      <para>
                        <paratext>reporting an offence to a law enforcement agency;</paratext>
                      </para>
                    </list.item>
                    <list.item>
                      <para>
                        <paratext>reporting misconduct, or a serious breach of the SRA's regulatory requirements, or making an equivalent report to any other body responsible for supervising or regulating the matters in question;</paratext>
                      </para>
                    </list.item>
                    <list.item>
                      <para>
                        <paratext>making a protected disclosure under the Public Interest Disclosure Act 1998;</paratext>
                      </para>
                    </list.item>
                    <list.item>
                      <para>
                        <paratext>making any disclosure required by law;</paratext>
                      </para>
                    </list.item>
                    <list.item>
                      <para>
                        <paratext>making a proper disclosure about the agreement or circumstances surrounding the agreement to professional advisers, such as legal or tax advisors and/or medical professionals and counsellors, who are bound by a duty of confidentiality.</paratext>
                      </para>
                    </list.item>
                  </list>
                </list.item>
              </list>
              <list type="bulleted">
                <list.item>
                  <para>
                    <paratext>Confidentiality agreements and clauses or other terms in an agreement which contain an NDA, must not stipulate, or give the impression to the person expected to agree the NDA, that such reporting or disclosure is prohibited.</paratext>
                  </para>
                </list.item>
                <list.item>
                  <para>
                    <paratext>Those dealing with NDAs should make sure that they do not become over reliant on NDA templates and complacent about the risks. Templates should always be specifically tailored to the individual circumstances of each case.</paratext>
                  </para>
                </list.item>
              </list>
              <para>
                <paratext>
                  Although this NDA is drafted for the legitimate purpose of regulating the terms on which the parties are prepared to share confidential information for the purposes of a proposed commercial transaction, practitioners must remain mindful of their professional obligations and the requirements of the Warning Notice. 
                  <bold>As required by the Warning Notice, this document should be used as a starting point, and the draftsperson must be satisfied that, in the context of the commercial transaction they are dealing with, the agreement will not be used improperly.</bold>
                </paratext>
              </para>
              <para>
                <paratext>
                  In particular, it should be noted that while the drafting here does not expressly prohibit reporting or disclosure of confidential information to a regulator or law enforcement agency (and it is arguable that such a term would not be implied), the drafting does not expressly permit such disclosure (except where required by law; see 
                  <internal.reference refid="a392560">clause 5.1</internal.reference>
                  ). It is currently unclear whether, in the context of such an NDA, the SRA would consider the absence of an express right to disclose in these circumstances as contravening the requirements of the Warning Notice. However, this could arguably be less likely where:
                </paratext>
              </para>
              <list type="bulleted">
                <list.item>
                  <para>
                    <paratext>As is invariably the case in a proposed commercial transaction, the purpose of the NDA is to limit the use of the disclosed information to the commercial purpose for which it is being disclosed, and is therefore not being used as a means of preventing, or seeking to impede or deter the type of disclosures highlighted in the Warning Notice.</paratext>
                  </para>
                </list.item>
                <list.item>
                  <para>
                    <paratext>There is no significant inequality in the parties' respective bargaining positions.</paratext>
                  </para>
                </list.item>
              </list>
              <para>
                <paratext>However, practitioners should consider the specific circumstances of each commercial transaction on a case-by-case basis and may deem it appropriate to include express provision. Such provision could provide, for example, that the agreement does not restrict the recipient from making a voluntary disclosure to and co-operating with an appliable regulator regarding any misconduct, wrongdoing or reportable breach of a regulatory requirement, or a relevant law enforcement agency regarding any criminal offence.</paratext>
              </para>
            </division>
            <division id="a930157" level="2">
              <head align="left" preservecase="true">
                <headtext>Restraint of trade considerations</headtext>
              </head>
              <para>
                <paratext>Under the law of confidentiality, the protection of confidential information is a recognised ground upon which restraint of trade is considered to be justified. However, restraint of trade considerations are applicable in the usual way to non-solicitation, non-compete, non-circumvention clauses and the like. Is the restriction, or restraint, a reasonable one (in duration, scope and territory, if applicable) for the legitimate protection of the disclosing party's business? If it is not, the restriction may not be valid.</paratext>
              </para>
              <para>
                <paratext>In practice a confidentiality agreement can be difficult to both police and enforce. In particular, proving misuse can be very difficult. An effective non-compete clause may be easier to enforce although the one should not be viewed as a substitute for the other.</paratext>
              </para>
              <para>
                <paratext>
                  In 
                  <link href="D-106-1455" style="ACTLinkPLCtoPLC">
                    <ital>Harcus Sinclair LLP and another v Your Lawyers Ltd [2021] UKSC 32</ital>
                  </link>
                  , the Supreme Court said that a non-compete undertaking may be needed even if a party were simply seeking to protect confidential information. This is because it is often difficult to prove what is and what is not confidential information and, in particular, whether that information has been misused. A non-compete undertaking may be a useful means of ensuring that confidential information is protected without needing to prove, through protracted litigation, that the information has been misused. On this point, the court cited 
                  <link href="D-015-4299" style="ACTLinkPLCtoPLC">
                    <ital>Littlewoods Organisation Ltd v Harris [1977] 1 W.L.R. 1472</ital>
                  </link>
                  <ital>, a</ital>
                  nd 
                  <link href="D-000-2999" style="ACTLinkPLCtoPLC">
                    <ital>Thomas v Farr Plc [2007] EWCA Civ 118</ital>
                  </link>
                  . (See 
                  <link href="w-032-0371" style="ACTLinkPLCtoPLC">
                    <ital>Legal update, Legitimate interests in a non-compete include non-contractual intentions (Supreme Court)</ital>
                  </link>
                  ).
                </paratext>
              </para>
              <para>
                <paratext>
                  For a more detailed discussion on how confidential information inter-relates with restrictive covenants, see 
                  <link anchor="a875756" href="w-001-8218" style="ACTLinkPLCtoPLC">
                    <ital>Practice note, Restraint of trade in commercial and corporate contracts: Business secrets and confidentiality</ital>
                  </link>
                  .
                </paratext>
              </para>
            </division>
            <division id="a713131" level="2">
              <head align="left" preservecase="true">
                <headtext>Requirement for consideration</headtext>
              </head>
              <para>
                <paratext>
                  Where a confidentiality agreement is structured as a simple contract, it must be supported by 
                  <link href="3-107-5984" style="ACTLinkPLCtoPLC">
                    <bold>
                      <ital>consideration</ital>
                    </bold>
                  </link>
                   to be enforceable, see
                  <ital> </ital>
                  <link anchor="a673916" href="3-107-4828" style="ACTLinkPLCtoPLC">
                    <ital>Practice note, Contracts: formation: Consideration</ital>
                  </link>
                  .
                </paratext>
              </para>
              <para>
                <paratext>In most situations, the consideration for the recipient's confidentiality obligations is the disclosure of the information by the discloser so the requirement for consideration would be met.</paratext>
              </para>
              <para>
                <paratext>But issues regarding adequate consideration can arise in some situations, such as where the confidential information is disclosed before the confidentiality agreement is signed. Past consideration is usually no consideration, although the parties could deal with this in one of the following ways:</paratext>
              </para>
              <list type="bulleted">
                <list.item>
                  <para>
                    <paratext>
                      <bold>Deed.</bold>
                       The agreement could be executed as a deed, as deeds are generally enforceable despite a lack of consideration. See 
                      <link href="0-380-8400#a473376" style="ACTLinkPLCtoPLC">
                        <ital>Practice note, Execution of deeds and documents: When is a deed required?</ital>
                      </link>
                      .
                    </paratext>
                  </para>
                </list.item>
                <list.item>
                  <para>
                    <paratext>
                      <bold>Nominal consideration.</bold>
                       The parties could give additional consideration in the form of a payment of a nominal sum of money.
                    </paratext>
                  </para>
                </list.item>
              </list>
            </division>
            <division id="a619213" level="2">
              <head align="left" preservecase="true">
                <headtext>Indemnity in a confidentiality agreement</headtext>
              </head>
              <para>
                <paratext>
                  This document contains an indemnity in favour of the discloser to cover the losses arising from the misuse or unauthorised disclosure of confidential information. This is often asked for on the basis that indemnities may offer the indemnified party a number of potential advantages over a claim for breach of contract. See 
                  <internal.reference refid="a697734">Drafting note, Indemnity</internal.reference>
                  .
                </paratext>
              </para>
            </division>
            <division id="a190462" level="2">
              <head align="left" preservecase="true">
                <headtext>Legal restrictions on disclosure of information</headtext>
              </head>
              <para>
                <paratext>The parties need to be aware that legal restrictions may prevent the disclosure of certain information to each other. For example:</paratext>
              </para>
              <list type="bulleted">
                <list.item>
                  <para>
                    <paratext>
                      <bold>Official secrets.</bold>
                       Parties who are government contractors may be subject to restrictions under official secrecy legislation.
                    </paratext>
                  </para>
                </list.item>
                <list.item>
                  <para>
                    <paratext>
                      <bold>Other confidentiality obligations.</bold>
                       A party may be under a confidentiality obligation owed to a third party. For example, a separate contractual confidentiality clause in a contract that it has entered into with that third party.
                    </paratext>
                  </para>
                </list.item>
                <list.item>
                  <para>
                    <paratext>
                      <bold>Personal data.</bold>
                       The collection, handling and storage of 
                      <link href="8-200-3413" style="ACTLinkPLCtoPLC">
                        <ital>personal data</ital>
                      </link>
                       is tightly regulated. It is assumed that the confidential information being shared under this NDA does not include any personal data, but to the extent that it does, the parties will need to consider the applicable requirements under the UK's data protection legislation, as appropriate. These matters could be addressed in:
                    </paratext>
                  </para>
                  <list type="bulleted">
                    <list.item>
                      <para>
                        <paratext>
                          The confidentiality agreement itself, see 
                          <link href="w-021-4823" style="ACTLinkPLCtoPLC">
                            <ital>Standard document, Confidentiality agreement (one-way; pro-discloser) with data protection provisions</ital>
                          </link>
                          <ital>.</ital>
                        </paratext>
                      </para>
                    </list.item>
                    <list.item>
                      <para>
                        <paratext>
                          A separate data sharing agreement (see, for example, 
                          <link href="w-011-7560" style="ACTLinkPLCtoPLC">
                            <ital>Standard clause, Personal data sharing clauses (controller to controller, short-form) (UK)</ital>
                          </link>
                           and 
                          <link href="w-014-5640" style="ACTLinkPLCtoPLC">
                            <ital>Standard document, Data sharing agreement (controller to controller) (UK</ital>
                          </link>
                          <ital>)</ital>
                          ).
                        </paratext>
                      </para>
                    </list.item>
                  </list>
                  <para>
                    <paratext>For more information on data protection requirements, see:</paratext>
                  </para>
                  <list type="bulleted">
                    <list.item>
                      <para>
                        <paratext>
                          <link href="w-013-3757" style="ACTLinkPLCtoPLC">
                            <ital>Practice note, Overview of UK GDPR</ital>
                          </link>
                          .
                        </paratext>
                      </para>
                    </list.item>
                    <list.item>
                      <para>
                        <paratext>
                          <link anchor="a227146" href="w-014-9200" style="ACTLinkPLCtoPLC">
                            <ital>Practice note, Data protection in corporate transactions (UK): NDAs and personal data</ital>
                          </link>
                          .
                        </paratext>
                      </para>
                    </list.item>
                  </list>
                </list.item>
              </list>
            </division>
            <division id="a493357" level="2">
              <head align="left" preservecase="true">
                <headtext>Public bodies: Freedom of Information Act 2000 and the Environmental Information Regulations 2004</headtext>
              </head>
              <para>
                <paratext>
                  Public bodies are obliged by the 
                  <link href="4-505-6037" style="ACTLinkPLCtoPLC">
                    <ital>Freedom of Information Act 2000</ital>
                  </link>
                   (FOIA) and the 
                  <link href="3-508-2782" style="ACTLinkPLCtoPLC">
                    <ital>Environmental Information Regulations 2004 (SI 2004/3391)</ital>
                  </link>
                   (EIR) to disclose certain information on request, to anyone asking for it, subject to various exemptions. This includes information belonging to a third party which is held by a public authority, even if the third party imposed confidentiality obligations on the public authority.
                </paratext>
              </para>
              <para>
                <paratext>A private entity who enters into a confidentiality agreement with a public authority should be aware that the information it provides to the public authority pursuant to that confidentiality agreement may be disclosed if that public authority becomes subject to an FOIA or EIR request. The FOIA and the EIR do not oblige a public authority to give notice to, consult, or inform third parties that may be affected by a disclosure before making that disclosure. However, it is good practice for a public authority to do so. A public authority may be prepared to agree to use reasonable endeavours to notify the third party that they have received a request for information affecting that party.</paratext>
              </para>
              <para>
                <paratext>
                  For an example of a boilerplate clause reflecting the FOIA and EIR regimes for use in a contract with a public sector body, see 
                  <link href="4-501-5075" style="ACTLinkPLCtoPLC">
                    <ital>Standard clause, Public sector boilerplate: Freedom of information</ital>
                  </link>
                  .
                </paratext>
              </para>
              <para>
                <paratext>For more information on the FOIA and EIR regimes, see the following Practice notes:</paratext>
              </para>
              <list type="bulleted">
                <list.item>
                  <para>
                    <paratext>
                      <link href="0-200-9452" style="ACTLinkPLCtoPLC">
                        <ital>Freedom of information</ital>
                      </link>
                      .
                    </paratext>
                  </para>
                </list.item>
                <list.item>
                  <para>
                    <paratext>
                      <link href="4-205-5357" style="ACTLinkPLCtoPLC">
                        <ital>Environmental Information Regulations 2004</ital>
                      </link>
                      .
                    </paratext>
                  </para>
                </list.item>
              </list>
            </division>
          </division>
          <division id="a175133" level="1">
            <head align="left" preservecase="true">
              <headtext>Drafting assumptions</headtext>
            </head>
            <para>
              <paratext>This agreement has been drafted on the following assumptions:</paratext>
            </para>
            <list type="bulleted">
              <list.item>
                <para>
                  <paratext>
                    <bold>Private companies.</bold>
                     The parties are private companies and neither are public authorities subject to the FOIA or EIR regimes. See 
                    <internal.reference refid="a493357">Drafting note, Public bodies: Freedom of Information Act 2000 and the Environmental Information Regulations 2004</internal.reference>
                    . The parties have been defined in this agreement as "Party 1" and "Party 2" (as the discloser and recipient respectively) but "Party 1" and "Party 2" should be substituted with appropriate short-form company names.
                  </paratext>
                </para>
              </list.item>
              <list.item>
                <para>
                  <paratext>
                    <bold>One-way disclosure.</bold>
                     Only one party is disclosing the confidential information and the drafting is weighted in favour of the discloser. If the drafting is to be weighted in favour of the recipient, see 
                    <link href="3-384-0494" style="ACTLinkPLCtoPLC">
                      <ital>Standard document, Confidentiality agreement (one-way; pro-recipient)</ital>
                    </link>
                    . If the disclosure of confidential information is to be mutual, see 
                    <link href="0-384-4083" style="ACTLinkPLCtoPLC">
                      <ital>Standard document, Confidentiality agreement (mutual)</ital>
                    </link>
                    .
                  </paratext>
                </para>
              </list.item>
              <list.item>
                <para>
                  <paratext>
                    <bold>Specific purpose.</bold>
                     The disclosure of confidential information is for a defined purpose.
                  </paratext>
                </para>
              </list.item>
              <list.item>
                <para>
                  <paratext>
                    <bold>Timing of disclosure.</bold>
                     The confidentiality agreement is entered into before any information is disclosed, although there is optional wording to cover the scenario where confidential information is disclosed before the agreement is signed.
                  </paratext>
                </para>
              </list.item>
              <list.item>
                <para>
                  <paratext>
                    <bold>Governing law.</bold>
                     The confidentiality agreement is governed by the law of England and Wales.
                  </paratext>
                </para>
              </list.item>
            </list>
          </division>
          <division id="a218437" level="1">
            <head align="left" preservecase="true">
              <headtext>Alternative agreements</headtext>
            </head>
            <para>
              <paratext>For other versions of confidentiality agreements, see the following Standard documents:</paratext>
            </para>
            <list type="bulleted">
              <list.item>
                <para>
                  <paratext>
                    <link href="0-384-4083" style="ACTLinkPLCtoPLC">
                      <ital>Confidentiality agreement (mutual)</ital>
                    </link>
                    .
                  </paratext>
                </para>
              </list.item>
              <list.item>
                <para>
                  <paratext>
                    <link href="3-384-0494" style="ACTLinkPLCtoPLC">
                      <ital>Confidentiality agreement (one-way; pro-recipient)</ital>
                    </link>
                    .
                  </paratext>
                </para>
              </list.item>
            </list>
            <para>
              <paratext>
                For a shorter form one-way confidentiality agreement, see 
                <link href="1-375-8305" style="ACTLinkPLCtoPLC">
                  <ital>Standard document, Confidentiality letter agreement: short form (one-way; pro-discloser)</ital>
                </link>
                .
              </paratext>
            </para>
          </division>
        </drafting.note>
        <cover.sheet>
          <head align="left" preservecase="true">
            <headtext>Confidentiality agreement (one-way; pro-discloser)</headtext>
          </head>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416606" status="individual">
            <identifier>(1)</identifier>
            <defn.item>
              <defn>
                <para>
                  <paratext>[FULL COMPANY NAME] incorporated and registered in England and Wales with company number [NUMBER] whose registered office is at [REGISTERED OFFICE ADDRESS]</paratext>
                </para>
              </defn>
              <defn.term>Party 1</defn.term>
            </defn.item>
          </party>
          <party executionmethod="contract" id="a172951" status="individual">
            <identifier>(2)</identifier>
            <defn.item>
              <defn>
                <para>
                  <paratext>[FULL COMPANY NAME] incorporated and registered in England and Wales with company number [NUMBER] whose registered office is at [REGISTERED OFFICE ADDRESS]</paratext>
                </para>
              </defn>
              <defn.term>Party 2</defn.term>
            </defn.item>
          </party>
        </parties>
        <recitals>
          <head align="left" preservecase="true">
            <headtext>BACKGROUND</headtext>
          </head>
          <clause id="a786816">
            <identifier>(A)</identifier>
            <para>
              <paratext>The parties intend to enter into discussions relating to the Purpose which will involve the disclosure of confidential information from Party 1 to Party 2.</paratext>
            </para>
          </clause>
          <clause id="a962538">
            <identifier>(B)</identifier>
            <para>
              <paratext>The parties have agreed to comply with this agreement in connection with the disclosure and use of Confidential Information.</paratext>
            </para>
          </clause>
        </recitals>
        <operative xrefname="clause">
          <head align="left" preservecase="true">
            <headtext>Agreed terms</headtext>
          </head>
          <clause id="a116502">
            <identifier>1.</identifier>
            <head align="left" preservecase="true">
              <headtext>Interpretation</headtext>
            </head>
            <subclause1 id="a490181">
              <identifier>1.1</identifier>
              <para>
                <paratext>
                  <bold>Definitions:</bold>
                </paratext>
              </para>
              <drafting.note id="a152310" jurisdiction="">
                <head align="left" preservecase="true">
                  <headtext>Definitions</headtext>
                </head>
                <division id="a000006" level="1">
                  <list type="bulleted">
                    <list.item>
                      <para>
                        <paratext>Delete any definition that is not used in this agreement. A word search on a definition will reveal whether it is used or not.</paratext>
                      </para>
                    </list.item>
                    <list.item>
                      <para>
                        <paratext>Consider whether any definitions need to be added.</paratext>
                      </para>
                    </list.item>
                    <list.item>
                      <para>
                        <paratext>Check each definition carefully to make sure it means what you intend it to mean and amend where necessary.</paratext>
                      </para>
                    </list.item>
                    <list.item>
                      <para>
                        <paratext>Be consistent. Where a capitalised term is used, do not introduce it without capitals later on or use a different form of words to mean the same thing.</paratext>
                      </para>
                    </list.item>
                  </list>
                </division>
              </drafting.note>
              <defn.item id="a824490">
                <defn.term>Business Day</defn.term>
                <defn>
                  <para>
                    <paratext>a day other than a Saturday, Sunday or public holiday in England when banks in London are open for business.</paratext>
                  </para>
                </defn>
              </defn.item>
              <defn.item id="a582338">
                <defn.term>Confidential Information</defn.term>
                <defn>
                  <para>
                    <paratext>
                      has the meaning given in 
                      <internal.reference refid="a640922">clause 2</internal.reference>
                      .
                    </paratext>
                  </para>
                </defn>
              </defn.item>
              <defn.item condition="optional" id="a640336">
                <defn.term>Group</defn.term>
                <defn>
                  <para>
                    <paratext>in relation to a company, that company, any subsidiary or holding company from time to time of that company, and any subsidiary from time to time of a holding company of that company. Each company in a Group is a member of the Group.</paratext>
                  </para>
                </defn>
                <drafting.note id="a875282" jurisdiction="">
                  <head align="left" preservecase="true">
                    <headtext>Group (optional definition)</headtext>
                  </head>
                  <division id="a000007" level="1">
                    <para>
                      <paratext>
                        The definition of group includes any two or more companies in a holding company or subsidiary relationship. This should be considered together with the definitions of "subsidiary" and "holding company" in 
                        <internal.reference refid="a545323">clause 1.2(e)</internal.reference>
                         (see 
                        <internal.reference refid="a436127">Drafting note, Holding company and subsidiary</internal.reference>
                        ).
                      </paratext>
                    </para>
                    <para>
                      <paratext>Omit this defined term if neither party is part of a corporate group, or if the parties are certain that none of their group members will be receiving or providing confidential information.</paratext>
                    </para>
                  </division>
                </drafting.note>
              </defn.item>
              <defn.item condition="optional" id="a533519">
                <defn.term>Group Company</defn.term>
                <defn>
                  <para>
                    <paratext>in relation to a company, any member of its Group.</paratext>
                  </para>
                </defn>
              </defn.item>
              <defn.item id="a154192">
                <defn.term>Holding company</defn.term>
                <defn>
                  <para>
                    <paratext>
                      has the meaning give in 
                      <internal.reference refid="a545323">clause 1.2(e)</internal.reference>
                      .
                    </paratext>
                  </para>
                </defn>
              </defn.item>
              <defn.item id="a729283">
                <defn.term>Purpose</defn.term>
                <defn>
                  <para>
                    <paratext>[STATE THE PURPOSE, FOR EXAMPLE, THE EVALUATION OR ESTABLISHMENT OF A COLLABORATION IN RESPECT OF A PARTICULAR PROJECT].</paratext>
                  </para>
                </defn>
                <drafting.note id="a656326" jurisdiction="">
                  <head align="left" preservecase="true">
                    <headtext>Purpose</headtext>
                  </head>
                  <division id="a000008" level="1">
                    <para>
                      <paratext>Before commencing any confidential discussions, the parties need to be clear about the purpose of working together.</paratext>
                    </para>
                    <para>
                      <paratext>
                        A wide and generic definition may seem convenient, for example, "discussions relating to prospective IT services", particularly in the very early stages where the detailed purpose is not defined yet. But this should be resisted as it may inadvertently cover information which was not intended to be confidential, thus placing an unnecessarily wide confidentiality obligation on the recipient. This could potentially jeopardise the effectiveness of the agreement, see 
                        <internal.reference refid="a848824">Drafting note, Confidential information</internal.reference>
                         at 
                        <internal.reference refid="a640922">clause 2</internal.reference>
                        .
                      </paratext>
                    </para>
                  </division>
                </drafting.note>
              </defn.item>
              <defn.item id="a992977">
                <defn.term>Representative(s)</defn.term>
                <defn>
                  <para>
                    <paratext>in relation to each party [and any member of its Group]:</paratext>
                  </para>
                  <list type="loweralpha">
                    <list.item>
                      <para>
                        <paratext>its officers and employees that need to know the Confidential Information for the Purpose;</paratext>
                      </para>
                    </list.item>
                    <list.item>
                      <para>
                        <paratext>its professional advisers or consultants who are engaged to advise that party [and/or any member of its Group] in connection with the Purpose;</paratext>
                      </para>
                    </list.item>
                    <list.item>
                      <para>
                        <paratext>its contractors and sub-contractors engaged by that party [and/or any member of its Group] in connection with the Purpose; and</paratext>
                      </para>
                    </list.item>
                    <list.item>
                      <para>
                        <paratext>any other person to whom the other party agrees in writing that Confidential Information may be disclosed in connection with the Purpose.</paratext>
                      </para>
                    </list.item>
                  </list>
                </defn>
                <drafting.note id="a809394" jurisdiction="">
                  <head align="left" preservecase="true">
                    <headtext>Representatives</headtext>
                  </head>
                  <division id="a000009" level="1">
                    <para>
                      <paratext>The parties will need to involve others in the process of evaluating the confidential information because:</paratext>
                    </para>
                    <list type="bulleted">
                      <list.item>
                        <para>
                          <paratext>The agreement assumes that the parties are companies, so they will need to work through their employees, directors and consultants.</paratext>
                        </para>
                      </list.item>
                      <list.item>
                        <para>
                          <paratext>The parties may require advisers to assist with the transaction. For example, lawyers, financial advisers and funders.</paratext>
                        </para>
                      </list.item>
                    </list>
                    <para>
                      <paratext>The agreement therefore needs to specify the third parties to whom the discloser agrees the recipient may share its confidential information, and to impose conditions on what those third parties may and may not do with the confidential information.</paratext>
                    </para>
                    <para>
                      <paratext>The definition of Representatives here includes representatives, not only of each party, but also of any group companies of either party. This may not be relevant if neither party is part of a corporate group.</paratext>
                    </para>
                    <para>
                      <paratext>
                        This definition includes individuals that are generally acceptable to a commercial party. However, the parties should review it to ensure that this definition is appropriate in the context of the transaction and the information being disclosed. If the information is deemed particularly sensitive, disclosure should be restricted to a small group of specified individuals, or that disclosure may not be made to any person without the discloser's prior written consent. See also 
                        <internal.reference refid="a760491">Drafting note, Permitted disclosure</internal.reference>
                        <ital> </ital>
                        at 
                        <internal.reference refid="a420225">clause 4</internal.reference>
                        .
                      </paratext>
                    </para>
                  </division>
                </drafting.note>
              </defn.item>
              <defn.item id="a968154">
                <defn.term>Subsidiary</defn.term>
                <defn>
                  <para>
                    <paratext>
                      has the meaning given in 
                      <internal.reference refid="a545323">clause 1.2(e)</internal.reference>
                      .
                    </paratext>
                  </para>
                </defn>
              </defn.item>
            </subclause1>
            <subclause1 id="a711755">
              <identifier>1.2</identifier>
              <para>
                <paratext>
                  <bold>Interpretation</bold>
                </paratext>
              </para>
              <drafting.note id="a615027" jurisdiction="">
                <head align="left" preservecase="true">
                  <headtext>Interpretation</headtext>
                </head>
                <division id="a000010" level="1">
                  <para>
                    <paratext>
                      This interpretation clause only includes provisions which are relevant to this document. For a full list of interpretation clauses and information on these, see 
                      <link href="5-107-3795" style="ACTLinkPLCtoPLC">
                        <ital>Standard clause, Interpretation</ital>
                      </link>
                       and the integrated drafting notes.
                    </paratext>
                  </para>
                </division>
              </drafting.note>
              <subclause2 id="a290561">
                <identifier>(a)</identifier>
                <para>
                  <paratext>A reference to legislation or a legislative provision is a reference to it as amended, extended or re-enacted from time to time. A reference to legislation or a legislative provision includes all subordinate legislation made from time to time under that legislation or legislative provision.</paratext>
                </para>
                <drafting.note id="a200491" jurisdiction="">
                  <head align="left" preservecase="true">
                    <headtext>Legislative references</headtext>
                  </head>
                  <division id="a000011" level="1">
                    <para>
                      <paratext>
                        See 
                        <link anchor="a756967" href="5-107-3795" style="ACTLinkPLCtoPLC">
                          <ital>Standard clause, Interpretation: Drafting note: Legislative references</ital>
                        </link>
                         and 
                        <link anchor="a539369" href="5-107-3795" style="ACTLinkPLCtoPLC">
                          <ital>Standard clause, Interpretation: Drafting note: Legislative references and secondary legislation</ital>
                        </link>
                        .
                      </paratext>
                    </para>
                  </division>
                </drafting.note>
              </subclause2>
              <subclause2 id="a946899">
                <identifier>(b)</identifier>
                <para>
                  <paratext>
                    Any words following the terms 
                    <bold>including</bold>
                    , 
                    <bold>include</bold>
                    , 
                    <bold>in particular</bold>
                    , 
                    <bold>for example</bold>
                     or any similar expression shall be construed as illustrative and shall not limit the sense of the words, description, definition, phrase or term preceding those terms.
                  </paratext>
                </para>
              </subclause2>
              <subclause2 id="a813964">
                <identifier>(c)</identifier>
                <para>
                  <paratext>
                    A reference to 
                    <bold>writing</bold>
                     or 
                    <bold>written</bold>
                     excludes fax [and email 
                    <bold>OR</bold>
                     but not email].
                  </paratext>
                </para>
                <drafting.note id="a160298" jurisdiction="">
                  <head align="left" preservecase="true">
                    <headtext>"Writing" and "written"</headtext>
                  </head>
                  <division id="a000012" level="1">
                    <para>
                      <paratext>
                        <internal.reference refid="a813964">Clause 1.2(c)</internal.reference>
                         permits notices and other communications to be given by email. It excludes fax as this is now regarded as an outdated mode of communication rarely used by lawyers in general commercial transactions. Traditionally, email had been excluded as a valid means of communication, in part because of concerns about presumed receipt. However, notice by email is now more common place and 
                        <internal.reference refid="a707229">clause 13.6(a)(ii)</internal.reference>
                         provides for notice given by email (which is treated as received on transmission, see 
                        <internal.reference refid="a353142">clause 13.6(b)(iii)</internal.reference>
                        ), but you should consider whether this is acceptable. If not, amend 
                        <internal.reference refid="a682877">clause 13.6</internal.reference>
                         accordingly.
                      </paratext>
                    </para>
                    <para>
                      <paratext>
                        Note that this clause does not apply to service of proceedings, see 
                        <internal.reference refid="a327970">clause 13.6(c)</internal.reference>
                        .
                      </paratext>
                    </para>
                    <para>
                      <paratext>
                        For more information about this issue, see 
                        <link href="3-107-3843" style="ACTLinkPLCtoPLC">
                          <ital>Practice note, Notice clauses</ital>
                        </link>
                        .
                      </paratext>
                    </para>
                  </division>
                </drafting.note>
              </subclause2>
              <subclause2 id="a672082">
                <identifier>(d)</identifier>
                <para>
                  <paratext>
                    A reference to a 
                    <bold>company</bold>
                     includes any company, corporation or other body corporate, wherever and however incorporated or established.
                  </paratext>
                </para>
              </subclause2>
              <subclause2 id="a545323">
                <identifier>(e)</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 1159(1)(b) and (c), as a member of another company even if its shares in that other company are registered in the name of:
                  </paratext>
                </para>
                <subclause3 id="a748883">
                  <identifier>(i)</identifier>
                  <para>
                    <paratext>another person (or its nominee) by way of security or in connection with the taking of security; or</paratext>
                  </para>
                </subclause3>
                <subclause3 id="a836809">
                  <identifier>(ii)</identifier>
                  <para>
                    <paratext>its nominee].</paratext>
                  </para>
                </subclause3>
              </subclause2>
              <subclause2 id="a969875">
                <para>
                  <paratex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drafting.note id="a436127" jurisdiction="">
                  <head align="left" preservecase="true">
                    <headtext>Holding company and subsidiary</headtext>
                  </head>
                  <division id="a000013" level="1">
                    <para>
                      <paratext>
                        For a discussion of the effects of the decision in 
                        <link href="4-505-6155" style="ACTLinkPLCtoPLC">
                          <ital>Farstad Supply AS v Enviroco Ltd [2011] UKSC 16</ital>
                        </link>
                         on the interpretation of "holding company" and "subsidiary", see the integrated drafting notes to 
                        <link anchor="a328241" href="5-107-3795" style="ACTLinkPLCtoPLC">
                          <ital>Standard clause, Interpretation: Clause 1.6</ital>
                        </link>
                        .
                      </paratext>
                    </para>
                  </division>
                </drafting.note>
              </subclause2>
              <subclause2 id="a137537">
                <identifier>(f)</identifier>
                <para>
                  <paratext>Any obligation on a party not to do something includes an obligation not to allow that thing to be done.</paratext>
                </para>
              </subclause2>
            </subclause1>
          </clause>
          <clause id="a640922">
            <identifier>2.</identifier>
            <head align="left" preservecase="true">
              <headtext>Confidential Information</headtext>
            </head>
            <drafting.note id="a848824" jurisdiction="">
              <head align="left" preservecase="true">
                <headtext>Confidential information</headtext>
              </head>
              <division id="a308058" level="1">
                <head align="left" preservecase="true">
                  <headtext>Scope of definition</headtext>
                </head>
                <para>
                  <paratext>
                    In order to be capable of protection as confidential information, the information in question must have the "necessary quality of confidence" (
                    <link href="D-015-4288" style="ACTLinkURL">
                      <ital>Saltman Engineering Co Ltd v Campbell Engineering Co Ltd [1948] 65 RPC 203</ital>
                    </link>
                     and 
                    <link href="D-000-4101" style="ACTLinkURL">
                      <ital>Coco v AN Clark (Engineers) Ltd [1969] RPC 41</ital>
                    </link>
                    ).
                  </paratext>
                </para>
                <para>
                  <paratext>It may be tempting to make the definition of confidential information as wide as possible, for example, by describing all information disclosed by a party as confidential. But merely describing information as confidential will not, of itself, turn information which is not inherently confidential into confidential information. Taking such an approach carries the risk that the courts will find the definition so wide that they refuse to uphold the agreement in respect of even genuinely confidential parts of the package of information.</paratext>
                </para>
                <para>
                  <paratext>It is therefore necessary to weigh up the risk of using a widely drawn definition of confidential information that may not be upheld by the courts, against the risk of using a definition that is too narrow to catch the information the parties wish to protect.</paratext>
                </para>
                <para>
                  <paratext>A typical definition of confidential information will generally cover some or all of the following types of information:</paratext>
                </para>
                <list type="bulleted">
                  <list.item>
                    <para>
                      <paratext>Information about the other party's business and affairs.</paratext>
                    </para>
                  </list.item>
                  <list.item>
                    <para>
                      <paratext>Technical information, for example, processing know-how.</paratext>
                    </para>
                  </list.item>
                  <list.item>
                    <para>
                      <paratext>Information developed by the parties during the course of their contractual relationship which contains, or was inspired by, information disclosed under the contract.</paratext>
                    </para>
                  </list.item>
                  <list.item>
                    <para>
                      <paratext>The fact that the parties are in discussions about the purpose.</paratext>
                    </para>
                  </list.item>
                </list>
                <para>
                  <paratext>
                    For further information on the definition of confidential information, see 
                    <link anchor="a599459" href="8-384-4456" style="ACTLinkPLCtoPLC">
                      <ital>Practice note, Protecting confidential information: overview: What types of information can be protected?</ital>
                    </link>
                    .
                  </paratext>
                </para>
                <division id="a287253" level="2">
                  <head align="left" preservecase="true">
                    <headtext>Drafting approach</headtext>
                  </head>
                  <para>
                    <paratext>
                      This document includes a general definition of confidential information that includes the word "confidential". This effectively leaves the courts to decide the information that is to be regarded as confidential information, applying the tests laid down in 
                      <ital>Coco v Clark</ital>
                      . The merit of this approach is that it is less likely to fall foul of the courts for being too wide; the disadvantage is that it does not convey with certainty exactly what information is captured by the definition. 
                      <internal.reference refid="a657628">clause 2.1(f)</internal.reference>
                       addresses this in part by allowing the parties to specify certain information as confidential by use of a schedule.
                    </paratext>
                  </para>
                  <para>
                    <paratext>Another approach to defining confidential information is to define it as information marked or otherwise indicated as "confidential" by the parties. But this approach is vulnerable to human mistake and, in addition, indiscriminate marking of materials as "confidential" may devalue the term.</paratext>
                  </para>
                </division>
                <division id="a664461" level="2">
                  <head align="left" preservecase="true">
                    <headtext>Trade secrets</headtext>
                  </head>
                  <para>
                    <paratext>
                      In 2018 the 
                      <link href="w-014-9127" style="ACTLinkPLCtoPLC">
                        <ital>Trade Secrets Regulations</ital>
                      </link>
                       came into force, which implemented the 
                      <link href="w-015-1298" style="ACTLinkPLCtoPLC">
                        <ital>Trade Secrets Directive</ital>
                      </link>
                       in the UK. The Trade Secrets Regulations provide for a statutory definition of "trade secret" in 
                      <link href="w-014-9386" style="ACTLinkPLCtoPLC">
                        <ital>regulation 2</ital>
                      </link>
                      <ital>.</ital>
                       This statutory definition appears to differ from the common law requirements by the need for the secret to have been subject to reasonable steps by the holder of the information to keep it secret:
                    </paratext>
                  </para>
                  <display.quote>
                    <para>
                      <paratext>"information which</paratext>
                    </para>
                  </display.quote>
                  <display.quote>
                    <para>
                      <paratext>(a) is secret in the sense that it is not, as a body or in the precise configuration and assembly of its components, generally known among, or readily accessible to, persons within the circles that normally deal with the kind of information in question,</paratext>
                    </para>
                  </display.quote>
                  <display.quote>
                    <para>
                      <paratext>(b) has commercial value because it is secret, and</paratext>
                    </para>
                  </display.quote>
                  <display.quote>
                    <para>
                      <paratext>(c) has been subject to reasonable steps under the circumstances, by the person lawfully in control of the information, to keep it secret."</paratext>
                    </para>
                  </display.quote>
                  <para>
                    <paratext>
                      It was initially unclear whether this new statutory regime resulted in a different scope of protection between the two regimes (the statutory protection versus the equitable protection of a trade secret). However, the High Court has since specifically referred to the Trade Secrets Directive in the context of the equitable duty of confidence in 
                      <link href="D-104-7896" style="ACTLinkPLCtoPLC">
                        <ital>Trailfinders Ltd v Travel Counsellors Ltd [2020] EWHC 591 (IPEC)</ital>
                      </link>
                      , where the judge acknowledged that the substantive principles governing the protection of confidential information under English law, including that afforded by equitable obligations of confidence and terms implied into contracts of employment, are unaffected by the Trade Secrets Directive. The judge stated that "the Directive shines an occasional light on those principles". Statements of interest in the judgment include the fact that the Trade Secrets Directive:
                    </paratext>
                  </para>
                  <list type="bulleted">
                    <list.item>
                      <para>
                        <paratext>Uses the term "trade secrets" broadly, covering any sort of confidential information.</paratext>
                      </para>
                    </list.item>
                    <list.item>
                      <para>
                        <paratext>
                          Provides a definition of trade secret (
                          <link href="w-042-1068" style="ACTLinkPLCtoPLC">
                            <ital>article 2(1)</ital>
                          </link>
                          ) which is now the "best guide" to the distinction between information which is confidential and that which is not.
                        </paratext>
                      </para>
                    </list.item>
                  </list>
                  <para>
                    <paratext>
                      As far as we are aware, this was the first judicial reference made to the Trade Secrets Directive shedding some light on its interplay with the equitable duty of confidence. (See 
                      <link href="w-024-5374" style="ACTLinkPLCtoPLC">
                        <ital>Legal update, Equitable duty of confidence not affected by Trade Secrets Directive (High Court)</ital>
                      </link>
                      ). The Court of Appeal went on to dismiss an appeal of this decision in 
                      <link href="D-105-6151" style="ACTLinkPLCtoPLC">
                        <ital>Travel Counsellors Ltd v Trailfinders Ltd [2021] EWCA Civ 38</ital>
                      </link>
                       and did not make any further comment on the interplay of the two regimes (see 
                      <link href="w-029-2767" style="ACTLinkPLCtoPLC">
                        <ital>Legal update, Recipient of information may be obliged to enquire whether it is confidential (Court of Appeal)</ital>
                      </link>
                      ).
                    </paratext>
                  </para>
                  <para>
                    <paratext>In any event, it is probably advisable for any definition of confidential information used in a confidentiality agreement to at least accord with the statutory definition.</paratext>
                  </para>
                  <para>
                    <paratext>
                      For further information see 
                      <link href="w-021-1676" style="ACTLinkPLCtoPLC">
                        <ital>Practice note, Protecting trade secrets: overview</ital>
                      </link>
                      .
                    </paratext>
                  </para>
                </division>
                <division id="a172826" level="2">
                  <head align="left" preservecase="true">
                    <headtext>Timing of disclosure of confidential information</headtext>
                  </head>
                  <para>
                    <paratext>
                      Ideally, a confidentiality agreement will have been entered into before any confidential information is disclosed. But this may not always occur in practice. The optional wording in 
                      <internal.reference refid="a421681">clause 2.1</internal.reference>
                       "[before, on or after the date of this agreement]" extends the parties' obligations to capture the disclosure of relevant information before the confidentiality agreement is signed.
                    </paratext>
                  </para>
                  <para>
                    <paratext>
                      But note that if information is disclosed before the agreement is signed, there is a risk that the recipient's obligations will not be enforceable with regard to that information on the grounds that past consideration is no consideration. For options on dealing with this, see 
                      <internal.reference refid="a408451">Drafting note, Legal issues</internal.reference>
                      .
                    </paratext>
                  </para>
                </division>
              </division>
            </drafting.note>
            <subclause1 id="a421681">
              <identifier>2.1</identifier>
              <para>
                <paratext>
                  <bold>Confidential Information</bold>
                   means all confidential information relating to the Purpose which Party 1 or its Representatives [or any of its Group Companies, or their Representatives] directly or indirectly discloses, or makes available, to Party 2 or its Representatives [or any of its Group Companies, or their Representatives][, before, on or after the date of this agreement]. This includes:
                </paratext>
              </para>
              <subclause2 id="a905142">
                <identifier>(a)</identifier>
                <para>
                  <paratext>the fact that discussions and negotiations are taking place concerning the Purpose and the status of those discussions and negotiations;</paratext>
                </para>
              </subclause2>
              <subclause2 condition="optional" id="a391529">
                <identifier>(b)</identifier>
                <para>
                  <paratext>the [existence and] terms of this agreement;</paratext>
                </para>
                <drafting.note id="a854534" jurisdiction="">
                  <head align="left" preservecase="true">
                    <headtext>The agreement itself (optional clause)</headtext>
                  </head>
                  <division id="a000014" level="1">
                    <para>
                      <paratext>The discloser may wish to protect any of the existence, subject matter and terms of this agreement, and not just the information disclosed under it.</paratext>
                    </para>
                  </division>
                </drafting.note>
              </subclause2>
              <subclause2 id="a357981">
                <identifier>(c)</identifier>
                <para>
                  <paratext>all confidential or proprietary information relating to:</paratext>
                </para>
                <subclause3 id="a823584">
                  <identifier>(i)</identifier>
                  <para>
                    <paratext>
                      the business, assets, affairs, customers, clients, suppliers[, 
                      <bold>OR</bold>
                       or] plans[, intentions, or market opportunities] of Party 1 [or of any of Party 1's Group Companies]; and
                    </paratext>
                  </para>
                </subclause3>
                <subclause3 id="a380516">
                  <identifier>(ii)</identifier>
                  <para>
                    <paratext>the operations, processes, product information, know-how, technical information, designs, trade secrets or software of Party 1[, or of any of Party 1's Group Companies];</paratext>
                  </para>
                </subclause3>
              </subclause2>
              <subclause2 id="a310788">
                <identifier>(d)</identifier>
                <para>
                  <paratext>any information, findings, data or analysis derived from Confidential Information; [and]</paratext>
                </para>
              </subclause2>
              <subclause2 id="a874931">
                <identifier>(e)</identifier>
                <para>
                  <paratext>
                    any other information that is identified as being of a confidential or proprietary nature[; and 
                    <bold>OR</bold>
                     .]
                  </paratext>
                </para>
              </subclause2>
              <subclause2 condition="optional" id="a657628">
                <identifier>(f)</identifier>
                <para>
                  <paratext>any information detailed in Schedule [NUMBER],</paratext>
                </para>
              </subclause2>
              <para>
                <paratext>
                  but excludes any information referred to in 
                  <internal.reference refid="a600860">clause 2.2</internal.reference>
                  .
                </paratext>
              </para>
            </subclause1>
            <subclause1 id="a600860">
              <identifier>2.2</identifier>
              <para>
                <paratext>Information is not Confidential Information if:</paratext>
              </para>
              <subclause2 id="a895488">
                <identifier>(a)</identifier>
                <para>
                  <paratext>it is, or becomes, generally available to the public other than as a direct or indirect result of the information being disclosed by Party 2 or its Representatives [or by any of Party 2's Group Companies or their Representatives] in breach of this agreement [(except that any compilation of otherwise public information in a form not publicly known shall still be treated as Confidential Information)];</paratext>
                </para>
              </subclause2>
              <subclause2 id="a994113">
                <identifier>(b)</identifier>
                <para>
                  <paratext>it was available to Party 2 on a non-confidential basis prior to disclosure by Party 1;</paratext>
                </para>
              </subclause2>
              <subclause2 id="a220762">
                <identifier>(c)</identifier>
                <para>
                  <paratext>it was, is, or becomes available to Party 2 on a non-confidential basis from a person who, to Party 2's knowledge, is not under any confidentiality obligation in respect of that information;</paratext>
                </para>
              </subclause2>
              <subclause2 id="a744975">
                <identifier>(d)</identifier>
                <para>
                  <paratext>it was lawfully in the possession of Party 2 before the information was disclosed by Party 1; [and]</paratext>
                </para>
              </subclause2>
              <subclause2 id="a907456">
                <identifier>(e)</identifier>
                <para>
                  <paratext>[it is developed by or for Party 2 independently of the information disclosed by Party 1 [and Party 2 provides documentary evidence of such independence to the reasonable satisfaction of Party 1]; and]</paratext>
                </para>
              </subclause2>
              <subclause2 id="a575434">
                <identifier>(f)</identifier>
                <para>
                  <paratext>the parties agree in writing that the information is not confidential.</paratext>
                </para>
                <drafting.note id="a302796" jurisdiction="">
                  <head align="left" preservecase="true">
                    <headtext>Carve-outs: information that is not confidential information</headtext>
                  </head>
                  <division id="a000015" level="1">
                    <para>
                      <paratext>Most disclosing parties will accept certain standard carve-outs to the definition of confidential information. The definition will usually contain carve-outs in respect of information that is in the public domain, or that the recipient already possesses or has received from another source.</paratext>
                    </para>
                    <division id="a000016" level="2">
                      <division id="a974641" level="3">
                        <head align="left" preservecase="true">
                          <headtext>Information presented in confidential manner: subclause (a)</headtext>
                        </head>
                        <para>
                          <paratext>
                            But while certain information may already be publicly available, the way it is presented to the recipient may be unique or difficult to replicate. In such cases, the discloser may want to keep the particular compilation of the information confidential. If so, include the wording in square brackets at the end of 
                            <internal.reference refid="a895488">clause 2.2(a)</internal.reference>
                            .
                          </paratext>
                        </para>
                      </division>
                      <division id="a271536" level="3">
                        <head align="left" preservecase="true">
                          <headtext>Information developed independently: subclause (e)</headtext>
                        </head>
                        <para>
                          <paratext>
                            The discloser may also agree to exclude information that was independently developed by the recipient without using the disclosing party's confidential information. This allows the recipient to create, develop, or pursue a project in the future that may be similar to the project contemplated by the agreement here. If the discloser agrees to this carve-out, include 
                            <internal.reference refid="a907456">clause 2.2(e)</internal.reference>
                            . The discloser may want to include a requirement for the recipient to provide documentary evidence that the information was indeed developed independently. If so, include the words in square brackets at the end of 
                            <internal.reference refid="a907456">clause 2.2(e)</internal.reference>
                            . Note that the recipient is likely to prefer not to include this requirement as it may be practically difficult to provide such documentary evidence.
                          </paratext>
                        </para>
                      </division>
                    </division>
                  </division>
                </drafting.note>
              </subclause2>
            </subclause1>
          </clause>
          <clause id="a972850">
            <identifier>3.</identifier>
            <head align="left" preservecase="true">
              <headtext>Confidentiality obligations</headtext>
            </head>
            <drafting.note id="a902240" jurisdiction="">
              <head align="left" preservecase="true">
                <headtext>Confidentiality obligations</headtext>
              </head>
              <division id="a000017" level="1">
                <para>
                  <paratext>The recipient should agree to:</paratext>
                </para>
                <list type="bulleted">
                  <list.item>
                    <para>
                      <paratext>Preserve the confidentiality of the information disclosed to it.</paratext>
                    </para>
                  </list.item>
                  <list.item>
                    <para>
                      <paratext>Use the confidential information only for the purpose. Without this restriction, the recipient would be free to use the confidential information for its own purposes to compete with the discloser or obtain some other commercial advantage.</paratext>
                    </para>
                  </list.item>
                </list>
                <division id="a444419" level="2">
                  <head align="left" preservecase="true">
                    <headtext>Drafting approach</headtext>
                  </head>
                  <para>
                    <paratext>
                      The obligations in 
                      <internal.reference refid="a403426">clause 3.1(a)</internal.reference>
                       to 
                      <internal.reference refid="a246211">clause 3.1(c)</internal.reference>
                       are the minimum requirements which the discloser should include. The remaining are optional and can be included if required. Whether or not the discloser decides to include the additional requirements will depend on the sensitivity and value of the information. The more onerous the obligation, the more likely that the recipient will resist it.
                    </paratext>
                  </para>
                </division>
                <division id="a654063" level="2">
                  <head align="left" preservecase="true">
                    <headtext>AI and machine learning</headtext>
                  </head>
                  <para>
                    <paratext>The specific requirements of an NDA can vary with the type of information being shared and its intended purpose. However, with AI use becoming ever more prevalent in a commercial context, practitioners should expressly address the recipient's potential use of AI and machine learning, including how this interfaces with the need to protect the confidential information disclosed.</paratext>
                  </para>
                  <para>
                    <paratext>Choose from the following two drafting options:</paratext>
                  </para>
                  <list type="bulleted">
                    <list.item>
                      <para>
                        <paratext>
                          <bold>Option 1. </bold>
                          Unless there is a transaction-specific reason to permit it, an NDA should prohibit the use of the discloser's confidential information by AI or machine learning models (whether private or public facing). This broad prohibition also prevents use of the confidential information to train such models. Particularly with a public facing AI model (for example, Chat GPT), this helps address the risk that the confidential information may be used to train the model to respond to future queries by members of the public, and so lead to potential data leakage (unauthorised disclosure to third parties). The first drafting option at 
                          <internal.reference refid="a407383">clause 3.1(g)</internal.reference>
                           reflects this approach.
                        </paratext>
                      </para>
                    </list.item>
                    <list.item>
                      <para>
                        <paratext>
                          <bold>Option 2. </bold>
                          If the recipient is unable to agree to a blanket prohibition on disclosure of the confidential information to AI or machine learning models, for example because the proposed commercial transaction envisages use of AI, the NDA should expressly provide for that. In these circumstances, practitioners should also consider imposing a condition on the recipient that any confidential information fed into the AI model will not be used to train it, and that the AI model is not accessible to or available for use by anyone that is not already allowed to access the confidential information under the NDA. Choose the second drafting option at 
                          <internal.reference refid="a407383">clause 3.1(g)</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ivision>
            </drafting.note>
            <subclause1 id="a944856">
              <identifier>3.1</identifier>
              <para>
                <paratext>In return for Party 1 making Confidential Information available to Party 2, Party 2 undertakes to Party 1 that it shall:</paratext>
              </para>
              <subclause2 id="a403426">
                <identifier>(a)</identifier>
                <para>
                  <paratext>keep the Confidential Information secret and confidential;</paratext>
                </para>
              </subclause2>
              <subclause2 id="a987679">
                <identifier>(b)</identifier>
                <para>
                  <paratext>not use or exploit the Confidential Information in any way except for the Purpose; [and]</paratext>
                </para>
              </subclause2>
              <subclause2 id="a246211">
                <identifier>(c)</identifier>
                <para>
                  <paratext>not directly or indirectly disclose or make available any Confidential Information in whole or in part to any person, except as expressly permitted by, and in accordance with this agreement[; OR .]</paratext>
                </para>
              </subclause2>
              <subclause2 condition="optional" id="a602799">
                <identifier>(d)</identifier>
                <para>
                  <paratext>not copy, reduce to writing or otherwise record the Confidential Information except as strictly necessary for the Purpose. Any such copies, reductions to writing and records shall be the property of Party 1;</paratext>
                </para>
              </subclause2>
              <subclause2 condition="optional" id="a334360">
                <identifier>(e)</identifier>
                <para>
                  <paratext>not use, reproduce, transform or store the Confidential Information in an externally accessible computer or electronic information retrieval system or transmit it in any form or by any means outside its usual place of business;</paratext>
                </para>
              </subclause2>
              <subclause2 condition="optional" id="a684693">
                <identifier>(f)</identifier>
                <para>
                  <paratext>apply the same security measures and degree of care to the Confidential Information as Party 2 applies to its own confidential information, which Party 2 warrants as providing adequate protection from unauthorised disclosure, copying or use;</paratext>
                </para>
              </subclause2>
              <subclause2 condition="optional" id="a407383">
                <identifier>(g)</identifier>
                <para>
                  <paratext>
                    [not process the Confidential Information in any way using machine learning or artificial intelligence (“AI”) models; 
                    <bold>OR </bold>
                    only process the Confidential Information using machine learning or artificial intelligence (“AI”) models where those models will not be:
                  </paratext>
                </para>
                <subclause3 id="a720349">
                  <identifier>(i)</identifier>
                  <para>
                    <paratext>trained on the Confidential Information; and</paratext>
                  </para>
                </subclause3>
                <subclause3 id="a132513">
                  <identifier>(ii)</identifier>
                  <para>
                    <paratext>lawfully available to or accessible for use by any person or entity except for the Discloser, the Recipient or its Representatives;]</paratext>
                  </para>
                </subclause3>
              </subclause2>
              <subclause2 condition="optional" id="a846132">
                <identifier>(h)</identifier>
                <para>
                  <paratext>keep a written record of:</paratext>
                </para>
                <subclause3 id="a542029">
                  <identifier>(i)</identifier>
                  <para>
                    <paratext>any document or Confidential Information received from Party 1 in tangible form; and</paratext>
                  </para>
                </subclause3>
                <subclause3 id="a991863">
                  <identifier>(ii)</identifier>
                  <para>
                    <paratext>any copies made of the Confidential Information; [and]</paratext>
                  </para>
                </subclause3>
              </subclause2>
              <subclause2 condition="optional" id="a920151">
                <identifier>(i)</identifier>
                <para>
                  <paratext>
                    ensure that any document or other records containing Confidential Information shall be kept at its premises at [PREMISES] and shall not remove or allow those documents and records to be moved from those premises[; and 
                    <bold>OR</bold>
                    .]
                  </paratext>
                </para>
              </subclause2>
              <subclause2 condition="optional" id="a487712">
                <identifier>(j)</identifier>
                <para>
                  <paratext>[INCLUDE ANY OTHER SPECIFIC REQUIREMENTS.]</paratext>
                </para>
              </subclause2>
            </subclause1>
            <subclause1 id="a163012">
              <identifier>3.2</identifier>
              <para>
                <paratext>Party 2 shall establish and maintain adequate security measures (including any reasonable security measures proposed by Party 1 from time to time) to safeguard the Confidential Information from unauthorised access or use.</paratext>
              </para>
            </subclause1>
          </clause>
          <clause id="a420225">
            <identifier>4.</identifier>
            <head align="left" preservecase="true">
              <headtext>Permitted disclosure</headtext>
            </head>
            <drafting.note id="a760491" jurisdiction="">
              <head align="left" preservecase="true">
                <headtext>Permitted disclosure</headtext>
              </head>
              <division id="a000018" level="1">
                <para>
                  <paratext>
                    This clause allows for disclosure of the confidential information to representatives, provided that certain requirements are met. See 
                    <internal.reference refid="a809394">Drafting note, Representatives</internal.reference>
                     at 
                    <internal.reference refid="a490181">clause 1.1</internal.reference>
                     for a discussion of this definition.
                  </paratext>
                </para>
                <division id="a932578" level="2">
                  <head align="left" preservecase="true">
                    <headtext>Ensuring that representatives comply with the terms of the agreement</headtext>
                  </head>
                  <para>
                    <paratext>
                      Because there is no privity of contract between the discloser and the recipient's representatives, 
                      <internal.reference refid="a114453">clause 4.1(b)</internal.reference>
                       provides that the recipient shall procure that its representatives comply with the confidentiality obligations in the agreement.
                    </paratext>
                  </para>
                  <para>
                    <paratext>Whether a recipient accepts this would depend on the following:</paratext>
                  </para>
                  <list type="bulleted">
                    <list.item>
                      <para>
                        <paratext>The extent to which it can, in practice, control or influence the actions of the representatives.</paratext>
                      </para>
                    </list.item>
                    <list.item>
                      <para>
                        <paratext>The available avenues of recourse against the representatives if they breach the terms of this agreement.</paratext>
                      </para>
                    </list.item>
                  </list>
                  <division id="a376906" level="3">
                    <head align="left" preservecase="true">
                      <headtext>Individual undertakings from representatives</headtext>
                    </head>
                    <para>
                      <paratext>
                        In circumstances where the information is particularly sensitive, the discloser may require the additional right to enforce the confidentiality undertakings directly against the representatives by means of a separate confidentiality undertaking with each individual representative, or by requiring that the recipient enters into a separate undertaking with each of its representatives. See the optional wording in 
                        <internal.reference refid="a114453">clause 4.1(b)</internal.reference>
                        . For an example letter agreement to meet this requirement, see 
                        <link href="1-592-6085" style="ACTLinkPLCtoPLC">
                          <ital>Standard document, Confidentiality letter: individual representative agreeing to be bound by a confidentiality agreement</ital>
                        </link>
                        .
                      </paratext>
                    </para>
                    <para>
                      <paratext>
                        But a recipient may find this requirement too onerous and may try to argue that confidentiality clauses in employment or consultancy agreements will be considered sufficient. If so, the discloser may want to seek a warranty from the recipient that such clauses have indeed been included in those agreements. For further information on confidentiality in an employment relationship, see 
                        <link anchor="a920102" href="8-384-4456" style="ACTLinkPLCtoPLC">
                          <ital>Practice note, Protecting confidential information: overview: Confidentiality obligations in an employment relationship</ital>
                        </link>
                        .
                      </paratext>
                    </para>
                  </division>
                </division>
                <division id="a666383" level="2">
                  <head align="left" preservecase="true">
                    <headtext>Disclosure to the Serious Fraud Office relating to Bribery Act 2010 offences</headtext>
                  </head>
                  <para>
                    <paratext>
                      If the recipient receives confidential information which causes it to suspect that the discloser may be involved in bribery in breach of the 
                      <link href="1-503-8422" style="ACTLinkPLCtoPLC">
                        <ital>Bribery Act 2010</ital>
                      </link>
                       (BA 2010), the recipient may want to report this to the Serious Fraud Office (SFO) pursuant to the SFO's self-reporting policy. In doing so, the recipient may be in breach of its confidentiality obligations if this involves the disclosure of the discloser's confidential information.
                    </paratext>
                  </para>
                  <para>
                    <paratext>
                      A discloser should note that a recipient may therefore want to include a carve-out expressly allowing for disclosure of confidential information under the BA 2010, without giving prior notice to the discloser. For an example of this clause, see 
                      <link anchor="a311283" href="0-384-4083" style="ACTLinkPLCtoPLC">
                        <ital>Standard document, Confidentiality agreement (mutual): Clause 4,2</ital>
                      </link>
                      .
                    </paratext>
                  </para>
                  <para>
                    <paratext>
                      For further information on the BA 2010 generally, see 
                      <link href="4-506-7875" style="ACTLinkPLCtoPLC">
                        <ital>Practice note, Bribery Act 2010: application to commercial agreements</ital>
                      </link>
                      .
                    </paratext>
                  </para>
                </division>
              </division>
            </drafting.note>
            <subclause1 id="a603176">
              <identifier>4.1</identifier>
              <para>
                <paratext>Party 2 may disclose the Confidential Information to its Representatives[, any of its Group Companies, or their Representatives] on the basis that it:</paratext>
              </para>
              <subclause2 id="a285365">
                <identifier>(a)</identifier>
                <para>
                  <paratext>informs those Representatives[, Group Companies, or their Representatives] of the confidential nature of the Confidential Information before it is disclosed; [and]</paratext>
                </para>
              </subclause2>
              <subclause2 id="a114453">
                <identifier>(b)</identifier>
                <para>
                  <paratext>
                    procures that those Representatives[, Group Companies, or their Representatives] comply with the confidentiality obligations in 
                    <internal.reference refid="a944856">clause 3.1</internal.reference>
                     as if they were Party 2 [and if Party 1 so requests, procure that any of them enters into a confidentiality agreement with Party 1 on terms equivalent to those contained in this agreement][; and 
                    <bold>OR</bold>
                     .]
                  </paratext>
                </para>
              </subclause2>
              <subclause2 condition="optional" id="a944461">
                <identifier>(c)</identifier>
                <para>
                  <paratext>keeps a written record of those persons.</paratext>
                </para>
              </subclause2>
            </subclause1>
            <subclause1 id="a853394">
              <identifier>4.2</identifier>
              <para>
                <paratext>Party 2 shall be liable for the actions or omissions of its Representatives, [any of its Group Companies, or their Representatives] in relation to the Confidential Information as if they were the actions or omissions of Party 2.</paratext>
              </para>
            </subclause1>
          </clause>
          <clause id="a842695">
            <identifier>5.</identifier>
            <head align="left" preservecase="true">
              <headtext>Mandatory disclosure</headtext>
            </head>
            <drafting.note id="a315364" jurisdiction="">
              <head align="left" preservecase="true">
                <headtext>Mandatory disclosure</headtext>
              </head>
              <division id="a000019" level="1">
                <para>
                  <paratext>This clause recognises that in certain circumstances, the recipient may be required by law or a regulatory authority (such as HMRC) to disclose confidential information. While the courts are unlikely to look sympathetically on the discloser's claim for breach of contract where the recipient was required to make a disclosure, it is preferable that the confidentiality agreement expressly permits such disclosures.</paratext>
                </para>
                <para>
                  <paratext>
                    Also see 
                    <internal.reference refid="a140597">Drafting note, Solicitors' regulatory obligations relating to use of NDAs</internal.reference>
                    .
                  </paratext>
                </para>
              </division>
            </drafting.note>
            <subclause1 id="a392560">
              <identifier>5.1</identifier>
              <para>
                <paratext>
                  Subject to the provisions of this 
                  <internal.reference refid="a842695">clause 5</internal.reference>
                  , Party 2 may disclose Confidential Information to the minimum extent required by:
                </paratext>
              </para>
              <subclause2 id="a733464">
                <identifier>(a)</identifier>
                <para>
                  <paratext>an order of any court of competent jurisdiction or any regulatory, judicial, governmental or similar body or any taxation authority of competent jurisdiction;</paratext>
                </para>
              </subclause2>
              <subclause2 id="a373389">
                <identifier>(b)</identifier>
                <para>
                  <paratext>the rules of any listing authority or stock exchange on which its shares are listed or traded; or</paratext>
                </para>
              </subclause2>
              <subclause2 id="a105262">
                <identifier>(c)</identifier>
                <para>
                  <paratext>the laws or regulations of any country to which its affairs are subject.</paratext>
                </para>
              </subclause2>
            </subclause1>
            <subclause1 id="a312611">
              <identifier>5.2</identifier>
              <para>
                <paratext>
                  Before Party 2 discloses any Confidential Information pursuant to 
                  <internal.reference refid="a392560">clause 5.1</internal.reference>
                   it shall, to the extent permitted by law, give Party 1 as much notice of this disclosure as possible. Where notice of such disclosure is not prohibited and is given in accordance with 
                  <internal.reference refid="a312611">clause 5.2</internal.reference>
                  , Party 2 shall take into account Party 1's requests in relation to the content of this disclosure.
                </paratext>
              </para>
              <drafting.note id="a492925" jurisdiction="">
                <head align="left" preservecase="true">
                  <headtext>Notifying the other party</headtext>
                </head>
                <division id="a000020" level="1">
                  <para>
                    <paratext>While the discloser cannot prevent the recipient from making a required disclosure, it can attempt to retain a degree of control by requiring the recipient, where possible and practicable, to give it notice before making the disclosure, and, in addition, cooperate with the discloser to control the terms of the disclosure as far as practicable.</paratext>
                  </para>
                  <para>
                    <paratext>
                      But this is not always possible. In some circumstances, the recipient may be prevented by law from notifying the discloser before a required disclosure is made. For example, where the disclosure obligation arises under the 
                      <link href="6-505-7413" style="ACTLinkPLCtoPLC">
                        <ital>Proceeds of Crime Act 2002</ital>
                      </link>
                      .
                    </paratext>
                  </para>
                  <para>
                    <paratext>
                      For a longer form version of this clause that sets out specific steps that the parties should take before the required disclosure is made, see 
                      <link href="8-107-5019#a666464" style="ACTLinkPLCtoPLC">
                        <ital>Standard document, Confidentiality agreement: corporate seller: acquisitions: clause 5.2</ital>
                      </link>
                      .
                    </paratext>
                  </para>
                </division>
              </drafting.note>
            </subclause1>
            <subclause1 id="a199974">
              <identifier>5.3</identifier>
              <para>
                <paratext>
                  If Party 2 is unable to inform Party 1 before Confidential Information is disclosed pursuant to 
                  <internal.reference refid="a392560">clause 5.1</internal.reference>
                   it shall, to the extent permitted by law, inform Party 1 of the full circumstances of the disclosure and the information that has been disclosed as soon as reasonably practicable after such disclosure has been made.
                </paratext>
              </para>
              <drafting.note id="a519439" jurisdiction="">
                <head align="left" preservecase="true">
                  <headtext>Notification after disclosure is made</headtext>
                </head>
                <division id="a000021" level="1">
                  <para>
                    <paratext>As noted above, the recipient may be prevented by law from notifying the discloser before a required disclosure is made. However, this clause will be useful if disclosure after the event is allowed.</paratext>
                  </para>
                </division>
              </drafting.note>
            </subclause1>
          </clause>
          <clause id="a560722">
            <identifier>6.</identifier>
            <head align="left" preservecase="true">
              <headtext>Return or destruction of Confidential Information</headtext>
            </head>
            <drafting.note id="a446671" jurisdiction="">
              <head align="left" preservecase="true">
                <headtext>Return or destruction of confidential information</headtext>
              </head>
              <division id="a000022" level="1">
                <para>
                  <paratext>A clause requiring the return or destruction of confidential information on the discloser's request is common in most confidentiality agreements.</paratext>
                </para>
                <para>
                  <paratext>
                    In 
                    <link href="D-037-5381" style="ACTLinkURL">
                      <ital>Arthur J Gallagher (UK) Ltd and others v Skriptchenko and others [2016] EWHC 603 (QB)</ital>
                    </link>
                    , the High Court ordered an injunction for the defendant to destroy the applicant's confidential information which were stored on the defendants' devices (see 
                    <link href="2-628-3186" style="ACTLinkPLCtoPLC">
                      <ital>Legal update, High Court orders destruction of confidential information on defendants' computers</ital>
                    </link>
                    ). This decision may encourage the recipient to comply with such a clause as the courts have shown a willingness to grant an order for the destruction of confidential information. The presence of such a clause could also influence a court in favour of granting an order to destroy confidential information.
                  </paratext>
                </para>
              </division>
            </drafting.note>
            <subclause1 id="a551108">
              <identifier>6.1</identifier>
              <para>
                <paratext>If so requested by Party 1 at any time by notice in writing to Party 2, Party 2 shall promptly:</paratext>
              </para>
              <subclause2 id="a678390">
                <identifier>(a)</identifier>
                <para>
                  <paratext>destroy [or return to Party 1] or permanently erase (including, to the extent legally and technically practicable, from its computer(s) and communications systems and devices or from systems and data storage services provided by third parties) all documents and materials [(and any copies)] containing, reflecting, incorporating or based on any Confidential Information; and</paratext>
                </para>
                <drafting.note id="a503280" jurisdiction="">
                  <head align="left" preservecase="true">
                    <headtext>Destroy or return?</headtext>
                  </head>
                  <division id="a000023" level="1">
                    <para>
                      <paratext>A discloser may prefer that the recipient returns the confidential information, instead of destroying it. If so, delete the reference to "destroy" in this clause. Although question how practical or even workable this is when confidential information is increasingly being shared in electronic form.</paratext>
                    </para>
                  </division>
                  <division id="a219572" level="1">
                    <head align="left" preservecase="true">
                      <headtext>Third party data storage</headtext>
                    </head>
                    <para>
                      <paratext>A party's data will often be held by a third party on a dispersed basis (that is, mixed with other people's information on the same server), or via cloud solutions, making the data mirrored in a number of locations. In this instance, an absolute obligation to delete or erase the confidential information from the third party's servers is likely to be technically impossible, hence the wording "to the extent legally and technically practicable". The discloser will of course have to decide if it is willing to permit the recipient to store information in this way and the recipient should ensure that whatever obligations in relation to erasure it agrees to in clause 6.1(a) can be reflected in its contractual arrangements with its third party data storage provider.</paratext>
                    </para>
                  </division>
                </drafting.note>
              </subclause2>
              <subclause2 id="a370301">
                <identifier>(b)</identifier>
                <para>
                  <paratext>
                    certify in writing to Party 1 that it has complied with the requirements of this 
                    <internal.reference refid="a551108">clause 6.1</internal.reference>
                    .
                  </paratext>
                </para>
              </subclause2>
            </subclause1>
            <subclause1 id="a158830">
              <identifier>6.2</identifier>
              <para>
                <paratext>
                  Nothing in 
                  <internal.reference refid="a551108">clause 6.1</internal.reference>
                   shall require Party 2 to return or destroy any documents and materials containing or based on the Confidential Information that Party 2 is required to retain by applicable law, or to satisfy the requirements of a regulatory authority or body of competent jurisdiction or the rules of any listing authority or stock exchange, to which it is subject. The provisions of this agreement shall continue to apply to any documents and materials retained by Party 2 pursuant to this 
                  <internal.reference refid="a158830">clause 6.2</internal.reference>
                  .
                </paratext>
              </para>
              <drafting.note id="a903623" jurisdiction="">
                <head align="left" preservecase="true">
                  <headtext>Right to retain certain materials</headtext>
                </head>
                <division id="a000024" level="1">
                  <para>
                    <paratext>
                      <internal.reference refid="a158830">Clause 6.2</internal.reference>
                       ensures that the obligations in 
                      <internal.reference refid="a551108">clause 6.1</internal.reference>
                       do not extend to information that the recipient is required to retain by law or to satisfy the rules or regulations of a regulatory body or securities exchange with applicable jurisdiction.
                    </paratext>
                  </para>
                  <para>
                    <paratext>
                      Note that a recipient may want to extend the carve-out in 
                      <internal.reference refid="a158830">clause 6.2</internal.reference>
                       to information which it needs to retain for its own internal compliance or auditing procedures. For information on document retention and links to relevant materials, see 
                      <link href="w-036-4090" style="ACTLinkPLCtoPLC">
                        <ital>Records management toolkit (UK)</ital>
                      </link>
                      .
                    </paratext>
                  </para>
                </division>
              </drafting.note>
            </subclause1>
          </clause>
          <clause id="a173962">
            <identifier>7.</identifier>
            <head align="left" preservecase="true">
              <headtext>Reservation of rights and acknowledgement</headtext>
            </head>
            <drafting.note id="a733049" jurisdiction="">
              <head align="left" preservecase="true">
                <headtext>Reservation of rights and acknowledgement</headtext>
              </head>
              <division id="a000025" level="1">
                <para>
                  <paratext>This clause has three functions:</paratext>
                </para>
                <list type="bulleted">
                  <list.item>
                    <para>
                      <paratext>The discloser reserves all its rights in its confidential information to avoid any doubt over ownership of the confidential information.</paratext>
                    </para>
                  </list.item>
                  <list.item>
                    <para>
                      <paratext>Prevents the recipient from establishing reliance on the confidential information.</paratext>
                    </para>
                  </list.item>
                  <list.item>
                    <para>
                      <paratext>Ensures that the discloser is not obliged to agree to further collaboration beyond the exchange of confidential information contemplated in this agreement.</paratext>
                    </para>
                  </list.item>
                </list>
              </division>
            </drafting.note>
            <subclause1 id="a681962">
              <identifier>7.1</identifier>
              <para>
                <paratext>Party 1 reserves all rights in its Confidential Information. The disclosure of Confidential Information by Party 1 to Party 2 does not give Party 2 or any other person any licence or other right in respect of any Confidential Information beyond the rights expressly set out in this agreement.</paratext>
              </para>
            </subclause1>
            <subclause1 id="a587230">
              <identifier>7.2</identifier>
              <para>
                <paratext>Except as expressly stated in this agreement, Party 1 makes no express or implied warranty or representation concerning its Confidential Information, including but not limited to the accuracy or completeness of the Confidential Information.</paratext>
              </para>
            </subclause1>
            <subclause1 id="a814942">
              <identifier>7.3</identifier>
              <para>
                <paratext>The disclosure of Confidential Information by Party 1 shall not form any offer by, or representation or warranty on the part of, Party 1 to enter into any further agreement with Party 2 [in relation to the Purpose or the development or supply of any products or services to which the Confidential Information relates to].</paratext>
              </para>
            </subclause1>
          </clause>
          <clause id="a370216">
            <identifier>8.</identifier>
            <head align="left" preservecase="true">
              <headtext>Indemnity</headtext>
            </head>
            <drafting.note id="a697734" jurisdiction="">
              <head align="left" preservecase="true">
                <headtext>Indemnity</headtext>
              </head>
              <division id="a000026" level="1">
                <para>
                  <paratext>An indemnity is an express obligation to compensate the beneficiary of the indemnity for some defined loss or damage arising from a particular cause, by making a monetary payment to the beneficiary.</paratext>
                </para>
                <para>
                  <paratext>
                    Indemnities may offer the indemnified party several potential advantages over a claim for breach of contract. In particular, if the indemnity is structured so as to give the indemnified party a claim for a debt, rather than breach of contract, the ordinary contractual rules of mitigation and remoteness of loss may not apply to the claim (
                    <link href="D-000-2759" style="ACTLinkPLCtoPLC">
                      <ital>Jervis v Harris [1996] Ch 195</ital>
                    </link>
                     and 
                    <link href="D-016-7263" style="ACTLinkPLCtoPLC">
                      <ital>Royscott Commercial Leasing Ltd v Ismail (unreported), 29 April 1993, Court of Appeal)</ital>
                    </link>
                    .
                  </paratext>
                </para>
                <para>
                  <paratext>Given the potential advantages of an indemnity claim over a claim for breach of contract, a discloser will sometimes seek an indemnity for loss arising from the misuse or disclosure of confidential information. However, the recipient will naturally resist the inclusion of an indemnity provision, on the basis that if there is a breach of the agreement, the discloser's proper recourse should be a claim for breach of contract. Whether the discloser is ultimately successful in securing an indemnity of the type in this clause will depend on several factors, including prevailing market conditions and the relative bargaining strength of the parties.</paratext>
                </para>
                <para>
                  <paratext>
                    The legal issues in this area are not straightforward. Indemnities must be drafted with care to ensure that they adequately cover the liability or anticipated liability. For general guidance on the key issues to consider when drafting an indemnity, see 
                    <link anchor="a795788" href="1-107-3797" style="ACTLinkPLCtoPLC">
                      <ital>Standard clause, Indemnity: Drafting note: Are there any special points to note when drafting indemnities?</ital>
                    </link>
                    .
                  </paratext>
                </para>
                <para>
                  <paratext>For further consideration of the legal issues relating to indemnities, see:</paratext>
                </para>
                <list type="bulleted">
                  <list.item>
                    <para>
                      <paratext>
                        <link href="w-004-0860" style="ACTLinkPLCtoPLC">
                          <ital>Practice note, Contracts: indemnities</ital>
                        </link>
                        .
                      </paratext>
                    </para>
                  </list.item>
                  <list.item>
                    <para>
                      <paratext>
                        <link href="1-107-3797" style="ACTLinkPLCtoPLC">
                          <ital>Standard clause, Indemnity</ital>
                        </link>
                         and drafting notes.
                      </paratext>
                    </para>
                  </list.item>
                </list>
                <para>
                  <paratext>For further information on the remedies for breach of confidentiality obligations, see Practice notes:</paratext>
                </para>
                <list type="bulleted">
                  <list.item>
                    <para>
                      <paratext>
                        <link anchor="a896624" href="8-384-4456" style="ACTLinkPLCtoPLC">
                          <ital>Practice note, Protecting confidential information: overview: Enforcement and remedies</ital>
                        </link>
                        <ital>.</ital>
                      </paratext>
                    </para>
                  </list.item>
                  <list.item>
                    <para>
                      <paratext>
                        <link anchor="a558842" href="0-107-4684" style="ACTLinkPLCtoPLC">
                          <ital>Confidentiality: acquisitions: Enforcing confidentiality obligations</ital>
                        </link>
                        .
                      </paratext>
                    </para>
                  </list.item>
                </list>
              </division>
            </drafting.note>
            <subclause1 id="a605151">
              <identifier>8.1</identifier>
              <para>
                <paratext>
                  Party 2 shall indemnify Party 1 [and each member of its Group (each an Indemnified Person)] against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 suffered or incurred by [Party 1 
                  <bold>OR</bold>
                   each Indemnified Person] arising out of or in connection with any breach of this agreement by Party 2, including as a result of the actions or omissions of any of its Representatives in accordance with clause 4.2.
                </paratext>
              </para>
            </subclause1>
            <subclause1 id="a770693">
              <identifier>8.2</identifier>
              <para>
                <paratext>
                  If a payment due from Party 2 under 
                  <internal.reference refid="a605151">clause 8.1</internal.reference>
                   is subject to tax (whether by way of direct assessment or withholding at its source), [Party 1 
                  <bold>OR</bold>
                   Indemnified Person] shall be entitled to receive from Party 2 such amount as shall ensure that the net receipt, after tax, of [Party 1 
                  <bold>OR</bold>
                   Indemnified Person] in respect of the payment is the same as it would have been were the payment not subject to tax.
                </paratext>
              </para>
              <drafting.note id="a482430" jurisdiction="">
                <head align="left" preservecase="true">
                  <headtext>Gross up</headtext>
                </head>
                <division id="a000027" level="1">
                  <para>
                    <paratext>This subclause provides for the grossing-up of indemnity payments made by the recipient where the payment is subject to tax in the hands of the discloser.</paratext>
                  </para>
                </division>
              </drafting.note>
            </subclause1>
          </clause>
          <clause id="a598979">
            <identifier>9.</identifier>
            <head align="left" preservecase="true">
              <headtext>Inadequacy of damages</headtext>
            </head>
            <drafting.note id="a606571" jurisdiction="">
              <head align="left" preservecase="true">
                <headtext>Inadequacy of damages</headtext>
              </head>
              <division id="a000028" level="1">
                <para>
                  <paratext>This is a standard clause where the recipient acknowledges that damages alone would not be an adequate remedy for a breach of this agreement, and that the discloser is therefore entitled to seek other remedies such as equitable relief or specific performance.</paratext>
                </para>
                <para>
                  <paratext>In practice, an injunction will be of limited usefulness as a remedy once confidential information has been disclosed or used in breach of a confidentiality undertaking. However, they are often the first choice of remedy if the discloser discovers the recipient's intention to misuse confidential information before the breach takes place.</paratext>
                </para>
                <para>
                  <paratext>As injunctions and orders for specific performance are discretionary, this clause aims to persuade a court to exercise its discretion in favour of the discloser by granting the relief sought. The value of such a clause is therefore debatable since the granting of equitable remedies is at the court's discretion.</paratext>
                </para>
                <para>
                  <paratext>
                    For more information on the remedies and potential advantages and limitations of this type of clause, see the integrated drafting notes to 
                    <link href="5-107-3804" style="ACTLinkPLCtoPLC">
                      <ital>Standard clause, Inadequacy of damages</ital>
                    </link>
                    .
                  </paratext>
                </para>
                <division id="a000029" level="2">
                  <division id="a512505" level="3">
                    <head align="left" preservecase="true">
                      <headtext>Trade secrets and remedies</headtext>
                    </head>
                    <para>
                      <paratext>
                        The 
                        <link href="w-014-9127" style="ACTLinkPLCtoPLC">
                          <ital>Trade Secrets Regulations</ital>
                        </link>
                        , which implemented the 
                        <link href="w-015-1298" style="ACTLinkPLCtoPLC">
                          <ital>Trade Secrets Directive</ital>
                        </link>
                         in the UK, is a separate statutory regime for the protection of undisclosed know-how and business information (or trade secrets) against their unlawful acquisition, use and disclosure. The original aim of the Directive was to standardise diverging national laws in the EU on trade secret protection. Despite the fact the UK has now left the EU, the Trade Secrets Regulations have not been impacted. In relation to the remedies available for such unlawful acquisition, disclosure and use of trade secrets, the Trade Secrets Regulations seek to:
                      </paratext>
                    </para>
                    <list type="bulleted">
                      <list.item>
                        <para>
                          <paratext>Align infringement under the Trade Secrets Regulations with common law breach of confidence.</paratext>
                        </para>
                      </list.item>
                      <list.item>
                        <para>
                          <paratext>Ensure that the remedies available for breach of confidence are also available following infringement under the Trade Secrets Regulations.</paratext>
                        </para>
                      </list.item>
                    </list>
                    <para>
                      <paratext>
                        For further detail on the remedies available under both the breach of the equitable duty of confidence and the Trade Secrets Regulations, see 
                        <link href="w-021-1676" style="ACTLinkPLCtoPLC">
                          <ital>Practice note, Protecting trade secrets: overview</ital>
                        </link>
                        .
                      </paratext>
                    </para>
                    <para>
                      <paratext>
                        For general information on remedies for breach of confidentiality obligations, see 
                        <link anchor="a896624" href="8-384-4456" style="ACTLinkPLCtoPLC">
                          <ital>Practice note, Protecting confidential information: overview: Enforcement and remedies</ital>
                        </link>
                        .
                      </paratext>
                    </para>
                  </division>
                </division>
              </division>
            </drafting.note>
            <subclause1 id="a138570">
              <para>
                <paratext>Without prejudice to any other rights or remedies that Party 1 may have, Party 2 acknowledges and agrees that damages alone would not be an adequate remedy for any breach of the terms of this agreement. Accordingly, Party 1 shall be entitled to the remedies of injunctions, specific performance or other equitable relief for any threatened or actual breach of this agreement by Party 2.</paratext>
              </para>
            </subclause1>
          </clause>
          <clause id="a738093">
            <identifier>10.</identifier>
            <head align="left" preservecase="true">
              <headtext>No obligation to continue discussions</headtext>
            </head>
            <subclause1 id="a179028">
              <para>
                <paratext>Nothing in this agreement shall impose an obligation on Party 1 to continue discussions or negotiations in connection with the Purpose, or an obligation on Party 1[, or any of its Group Companies,] to disclose any information (whether Confidential Information or otherwise) to Party 2.</paratext>
              </para>
            </subclause1>
          </clause>
          <clause id="a168836">
            <identifier>11.</identifier>
            <head align="left" preservecase="true">
              <headtext>Ending discussions and duration of confidentiality obligations</headtext>
            </head>
            <drafting.note id="a495273" jurisdiction="">
              <head align="left" preservecase="true">
                <headtext>Ending discussions and duration of confidentiality obligations</headtext>
              </head>
              <division id="a000030" level="1">
                <division id="a502101" level="2">
                  <head align="left" preservecase="true">
                    <headtext>Actively ending discussions</headtext>
                  </head>
                  <para>
                    <paratext>
                      <internal.reference refid="a494865">clause 11.1</internal.reference>
                       enables the discloser to end discussions by written notice to the recipient.
                    </paratext>
                  </para>
                  <para>
                    <paratext>Parties will not always actively end discussions by giving such notice. It is more likely that if the parties are no longer interested to pursue the purpose together, their discussions will gradually decrease before stopping altogether. But for completeness, the option to actively end discussions has been included should the discloser choose to end discussions this way.</paratext>
                  </para>
                </division>
                <division id="a300954" level="2">
                  <head align="left" preservecase="true">
                    <headtext>Duration of confidentiality obligations</headtext>
                  </head>
                  <para>
                    <paratext>
                      Regardless of whether or not the discussions are actively ended pursuant to 
                      <internal.reference refid="a494865">clause 11.1</internal.reference>
                      , 
                      <internal.reference refid="a533112">clause 11.2</internal.reference>
                       provides that the confidentiality obligations will last for two years from the date of the agreement. The duration of the confidentiality obligations is one for discussion between the parties, but it is fairly standard to have a term of between two to five years.
                    </paratext>
                  </para>
                  <para>
                    <paratext>There is no public policy constraint in relation to the duration of confidentiality undertakings so it is theoretically possible to provide for the confidentiality obligations in the agreement to continue indefinitely. However, the courts are unlikely to uphold undertakings that relate to information that has lost its confidential character due to it becoming out of date or ceasing to have any commercial value. Parties would also be reluctant to accept an obligation with an open-ended term as this would require compliance-monitoring for an indefinite period.</paratext>
                  </para>
                  <para>
                    <paratext>While technical information can remain of commercial value almost indefinitely, business information may only remain valuable for a short time. Accordingly, the parties should set a realistic time period for the duration of the confidentiality obligations in this agreement by reference to the type of information being protected.</paratext>
                  </para>
                </division>
              </division>
            </drafting.note>
            <subclause1 id="a494865">
              <identifier>11.1</identifier>
              <para>
                <paratext>If Party 1 decides not to continue to be involved in the Purpose with Party 2, it shall notify Party 2 in writing immediately.</paratext>
              </para>
            </subclause1>
            <subclause1 id="a533112">
              <identifier>11.2</identifier>
              <para>
                <paratext>
                  Notwithstanding the end of discussions between the parties in relation to the Purpose pursuant to 
                  <internal.reference refid="a494865">clause 11.1</internal.reference>
                  , each party's obligations under this agreement shall continue in full force and effect for a period of [two] years from the date of this agreement.
                </paratext>
              </para>
            </subclause1>
            <subclause1 id="a682686">
              <identifier>11.3</identifier>
              <para>
                <paratext>The end of discussions relating to the Purpose shall not affect any accrued rights or remedies to which either party is entitled.</paratext>
              </para>
            </subclause1>
          </clause>
          <clause id="a654105">
            <identifier>12.</identifier>
            <head align="left" preservecase="true">
              <headtext>No partnership or agency</headtext>
            </head>
            <drafting.note id="a234457" jurisdiction="">
              <head align="left" preservecase="true">
                <headtext>No partnership or agency</headtext>
              </head>
              <division id="a000031" level="1">
                <para>
                  <paratext>The principal object of a no partnership or agency clause is to exclude the risk of an agreement creating an unwanted partnership or agency relationship between the parties. This could be particularly relevant in the context of a confidentiality agreement where the parties are still at a preliminary phase of a project. At such an early stage, these discussions may just be to gather information or to see if the parties are compatible to work together. As such, the parties will want to ensure that they do not inadvertently or unwillingly form some sort of unwanted alliance with the other.</paratext>
                </para>
                <para>
                  <paratext>
                    For further information, see the integrated drafting notes to 
                    <link href="4-107-3814" style="ACTLinkPLCtoPLC">
                      <ital>Standard clause, No partnership or agency</ital>
                    </link>
                    .
                  </paratext>
                </para>
              </division>
            </drafting.note>
            <subclause1 id="a851672">
              <identifier>12.1</identifier>
              <para>
                <paratext>Nothing in this agreement is intended to, or shall be deemed to, establish any partnership or joint venture between the parties, constitute any party the agent of another party, or authorise any party to make or enter into any commitments for or on behalf of any other party.</paratext>
              </para>
            </subclause1>
            <subclause1 id="a638587">
              <identifier>12.2</identifier>
              <para>
                <paratext>Each party confirms it is acting on its own behalf and not for the benefit of any other person.</paratext>
              </para>
            </subclause1>
          </clause>
          <clause id="a978494">
            <identifier>13.</identifier>
            <head align="left" preservecase="true">
              <headtext>General</headtext>
            </head>
            <subclause1 id="a172477">
              <identifier>13.1</identifier>
              <para>
                <paratext>
                  <bold>Assignment and other dealings.</bold>
                   Neither party shall assign, transfer, mortgage, charge, subcontract, declare a trust over or deal in any other manner with any of its rights and obligations under this agreement.
                </paratext>
              </para>
              <drafting.note id="a975661" jurisdiction="">
                <head align="left" preservecase="true">
                  <headtext>Assignment and other dealings</headtext>
                </head>
                <division id="a000032" level="1">
                  <para>
                    <paratext>
                      This clause assumes that the parties do not want each other to be able to assign or otherwise transfer its rights and obligations under the agreement. Alternative forms of this clause may include an option to transfer subject to the other party's prior written consent, or a carve-out for intra-group transfers, for which see 
                      <link href="5-107-3823" style="ACTLinkPLCtoPLC">
                        <ital>Standard clause, Assignment and other dealings</ital>
                      </link>
                      .
                    </paratext>
                  </para>
                </division>
              </drafting.note>
            </subclause1>
            <subclause1 id="a629017">
              <identifier>13.2</identifier>
              <para>
                <paratext>
                  <bold>Entire agreement.</bold>
                </paratext>
              </para>
              <subclause2 id="a928248">
                <identifier>(a)</identifier>
                <para>
                  <paratext>This agreement constitutes the entire agreement between the parties.</paratext>
                </para>
              </subclause2>
              <subclause2 id="a914552">
                <identifier>(b)</identifier>
                <para>
                  <paratex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paratext>
                </para>
                <drafting.note id="a931762" jurisdiction="">
                  <head align="left" preservecase="true">
                    <headtext>Entire agreement</headtext>
                  </head>
                  <division id="a000033" level="1">
                    <para>
                      <paratext>
                        For information on entire agreement clauses, see the integrated drafting notes to 
                        <link href="2-107-3834" style="ACTLinkPLCtoPLC">
                          <ital>Standard clause, Entire agreement</ital>
                        </link>
                        .
                      </paratext>
                    </para>
                  </division>
                </drafting.note>
              </subclause2>
            </subclause1>
            <subclause1 id="a296315">
              <identifier>13.3</identifier>
              <para>
                <paratext>
                  <bold>Variation.</bold>
                   No variation of this agreement shall be effective unless it is in writing and signed by the parties (or their authorised representatives).
                </paratext>
              </para>
              <drafting.note id="a368460" jurisdiction="">
                <head align="left" preservecase="true">
                  <headtext>Variation</headtext>
                </head>
                <division id="a000034" level="1">
                  <para>
                    <paratext>
                      For information on variation clauses, see the integrated drafting notes to 
                      <link href="3-107-3838" style="ACTLinkPLCtoPLC">
                        <ital>Standard clause, Variation</ital>
                      </link>
                      .
                    </paratext>
                  </para>
                </division>
              </drafting.note>
            </subclause1>
            <subclause1 id="a144689">
              <identifier>13.4</identifier>
              <para>
                <paratext>
                  <bold>Waiver.</bold>
                </paratext>
              </para>
              <subclause2 id="a320554">
                <identifier>(a)</identifier>
                <para>
                  <paratext>A waiver of any right or remedy under this agreement or by law is only effective if given in writing and shall not be deemed a waiver of any subsequent right or remedy.</paratext>
                </para>
              </subclause2>
              <subclause2 id="a429052">
                <identifier>(b)</identifier>
                <para>
                  <paratext>A delay or failure to exercise, or the single or partial exercise of, any right or remedy does not waive that or any other right or remedy, nor does it prevent or restrict the further exercise of that or any other right or remedy.</paratext>
                </para>
                <drafting.note id="a719909" jurisdiction="">
                  <head align="left" preservecase="true">
                    <headtext>Waiver</headtext>
                  </head>
                  <division id="a000035" level="1">
                    <para>
                      <paratext>
                        For information on waiver clauses, see the integrated drafting notes to 
                        <link href="0-107-3806" style="ACTLinkPLCtoPLC">
                          <ital>Standard clause, Waiver</ital>
                        </link>
                        .
                      </paratext>
                    </para>
                  </division>
                </drafting.note>
              </subclause2>
            </subclause1>
            <subclause1 id="a658917">
              <identifier>13.5</identifier>
              <para>
                <paratext>
                  <bold>Severance</bold>
                </paratext>
              </para>
              <subclause2 id="a309909">
                <identifier>(a)</identifier>
                <para>
                  <paratext>If any provision or part-provision of this agreement is or becomes invalid, illegal or unenforceable, it shall be deemed deleted, but that shall not affect the validity and enforceability of the rest of this agreement.</paratext>
                </para>
              </subclause2>
              <subclause2 id="a501243">
                <identifier>(b)</identifier>
                <para>
                  <paratext>
                    If any provision or part-provision of this agreement is deemed deleted under 
                    <internal.reference refid="a309909">clause 13.5(a)</internal.reference>
                    , the parties shall negotiate in good faith to agree a replacement provision that, to the greatest extent possible, achieves the intended commercial result of the original provision.
                  </paratext>
                </para>
                <drafting.note id="a215046" jurisdiction="">
                  <head align="left" preservecase="true">
                    <headtext>Severance</headtext>
                  </head>
                  <division id="a000036" level="1">
                    <para>
                      <paratext>
                        This severance clause does include an obligation on the parties to negotiate in good faith to amend the clause to make it enforceable. For alternative drafting options and information on severance clauses, see 
                        <link href="9-107-3840" style="ACTLinkPLCtoPLC">
                          <ital>Standard clause, Severance</ital>
                        </link>
                         and its integrated drafting notes.
                      </paratext>
                    </para>
                  </division>
                </drafting.note>
              </subclause2>
            </subclause1>
            <subclause1 id="a682877">
              <identifier>13.6</identifier>
              <para>
                <paratext>
                  <bold>Notices</bold>
                </paratext>
              </para>
              <subclause2 id="a476133">
                <identifier>(a)</identifier>
                <para>
                  <paratext>Any notice given to a party under or in connection with this agreement shall be in writing and shall be:</paratext>
                </para>
                <subclause3 id="a390035">
                  <identifier>(i)</identifier>
                  <para>
                    <paratext>delivered by hand or by pre-paid first-class post or other next working day delivery service at its registered office (if a company) or its principal place of business (in any other case)[; or]</paratext>
                  </para>
                </subclause3>
                <subclause3 condition="optional" id="a707229">
                  <identifier>(ii)</identifier>
                  <para>
                    <paratext>sent by email to the following addresses (or an address substituted in writing by the party to be served):</paratext>
                  </para>
                </subclause3>
                <subclause3 condition="optional" id="a694594">
                  <para>
                    <paratext>Party 1: [ADDRESS].</paratext>
                  </para>
                  <para>
                    <paratext>Party 2: [ADDRESS].</paratext>
                  </para>
                </subclause3>
              </subclause2>
              <subclause2 id="a318211">
                <identifier>(b)</identifier>
                <para>
                  <paratext>Any notice shall be deemed to have been received:</paratext>
                </para>
                <subclause3 id="a921245">
                  <identifier>(i)</identifier>
                  <para>
                    <paratext>if delivered by hand, at the time the notice is left at the proper address; [or]</paratext>
                  </para>
                </subclause3>
                <subclause3 id="a842763">
                  <identifier>(ii)</identifier>
                  <para>
                    <paratext>if sent by [pre-paid first-class post or other] next working day delivery service, at [9.00 am] on the [second] Business Day after posting[; or]</paratext>
                  </para>
                </subclause3>
                <subclause3 condition="optional" id="a353142">
                  <identifier>(iii)</identifier>
                  <para>
                    <paratext>if sent by email, at the time of transmission, or, if this time falls outside Business Hours in the place of receipt, when Business Hours resume.</paratext>
                  </para>
                </subclause3>
              </subclause2>
              <subclause2 id="a327970">
                <identifier>(c)</identifier>
                <para>
                  <paratext>This clause does not apply to the service of any proceedings or other documents in any legal action or, where applicable, any arbitration or other method of dispute resolution.</paratext>
                </para>
                <drafting.note id="a294308" jurisdiction="">
                  <head align="left" preservecase="true">
                    <headtext>Notices</headtext>
                  </head>
                  <division id="a000037" level="1">
                    <para>
                      <paratext>
                        This clause provides the option for notice to be given by email. If including this option, see also 
                        <internal.reference refid="a813964">clause 1.2(c)</internal.reference>
                         relating to "writing" and "written", and make sure the two provisions are consistent.
                      </paratext>
                    </para>
                    <para>
                      <paratext>
                        For information on notice clauses, see the integrated drafting notes to 
                        <link href="5-107-3842" style="ACTLinkPLCtoPLC">
                          <ital>Standard clause, Notices</ital>
                        </link>
                         and 
                        <link href="3-107-3843" style="ACTLinkPLCtoPLC">
                          <ital>Practice note, Notice clauses</ital>
                        </link>
                        .
                      </paratext>
                    </para>
                  </division>
                </drafting.note>
              </subclause2>
            </subclause1>
            <subclause1 id="a978247">
              <identifier>13.7</identifier>
              <para>
                <paratext>
                  <bold>Third party rights.</bold>
                </paratext>
              </para>
              <subclause2 id="a417571">
                <identifier>(a)</identifier>
                <para>
                  <paratext>[Unless it expressly states otherwise,] this agreement does not give rise to any rights under the Contracts (Rights of Third Parties) Act 1999 to enforce any term of this agreement.</paratext>
                </para>
              </subclause2>
              <subclause2 condition="optional" id="a669288">
                <identifier>(b)</identifier>
                <para>
                  <paratext>The rights of the parties to rescind or vary this agreement are not subject to the consent of any other person.</paratext>
                </para>
                <drafting.note id="a373733" jurisdiction="">
                  <head align="left" preservecase="true">
                    <headtext>Third party rights</headtext>
                  </head>
                  <division id="a000038" level="1">
                    <para>
                      <paratext>
                        For information on third party rights clauses, see the integrated drafting notes to 
                        <link href="6-107-3846" style="ACTLinkPLCtoPLC">
                          <ital>Standard clause, Third party rights</ital>
                        </link>
                        .
                      </paratext>
                    </para>
                  </division>
                </drafting.note>
              </subclause2>
            </subclause1>
            <subclause1 id="a677455">
              <identifier>13.8</identifier>
              <para>
                <paratext>
                  <bold>Governing law.</bold>
                   This agreement and any dispute or claim (including non-contractual disputes or claims) arising out of or in connection with it or its subject matter or formation shall be governed by and construed in accordance with the law of England and Wales.
                </paratext>
              </para>
              <drafting.note id="a690985" jurisdiction="">
                <head align="left" preservecase="true">
                  <headtext>Governing law</headtext>
                </head>
                <division id="a000039" level="1">
                  <para>
                    <paratext>For information on governing law clauses, see:</paratext>
                  </para>
                  <list type="bulleted">
                    <list.item>
                      <para>
                        <paratext>
                          The integrated drafting notes to 
                          <link href="8-107-3850" style="ACTLinkPLCtoPLC">
                            <ital>Standard clause, Governing law</ital>
                          </link>
                          .
                        </paratext>
                      </para>
                    </list.item>
                    <list.item>
                      <para>
                        <paratext>
                          <link href="4-107-3852" style="ACTLinkPLCtoPLC">
                            <ital>Practice note, Governing law and jurisdiction clauses</ital>
                          </link>
                          .
                        </paratext>
                      </para>
                    </list.item>
                  </list>
                  <division id="a000040" level="2">
                    <division id="a750915" level="3">
                      <head align="left" preservecase="true">
                        <headtext>Uniformity of governing law and jurisdiction clauses in subsequent agreements</headtext>
                      </head>
                      <para>
                        <paratext>
                          See 
                          <internal.reference refid="a928474">Drafting note, Jurisdiction</internal.reference>
                          .
                        </paratext>
                      </para>
                    </division>
                  </division>
                </division>
              </drafting.note>
            </subclause1>
            <subclause1 id="a328499">
              <identifier>13.9</identifier>
              <para>
                <paratext>
                  <bold>Jurisdiction.</bold>
                   Each party irrevocably agrees that the courts of England and Wales shall have exclusive jurisdiction to settle any dispute or claim (including non-contractual disputes or claims) arising out of or in connection with this agreement or its subject matter or formation.
                </paratext>
              </para>
              <drafting.note id="a928474" jurisdiction="">
                <head align="left" preservecase="true">
                  <headtext>Jurisdiction</headtext>
                </head>
                <division id="a000041" level="1">
                  <para>
                    <paratext>For information on jurisdiction clauses, see:</paratext>
                  </para>
                  <list type="bulleted">
                    <list.item>
                      <para>
                        <paratext>
                          The integrated drafting notes to 
                          <link href="9-522-6848" style="ACTLinkPLCtoPLC">
                            <ital>Standard clause, Jurisdiction</ital>
                          </link>
                          .
                        </paratext>
                      </para>
                    </list.item>
                    <list.item>
                      <para>
                        <paratext>
                          <link href="4-107-3852" style="ACTLinkPLCtoPLC">
                            <ital>Practice note, Governing law and jurisdiction clauses</ital>
                          </link>
                          .
                        </paratext>
                      </para>
                    </list.item>
                  </list>
                  <division id="a000042" level="2">
                    <division id="a853411" level="3">
                      <head align="left" preservecase="true">
                        <headtext>Uniformity of governing law and jurisdiction clauses in subsequent agreements</headtext>
                      </head>
                      <para>
                        <paratext>A confidentiality agreement is normally a prelude to further agreements between the parties. For example, the parties may end up signing a services agreement after their discussions pursuant to a confidentiality agreement. Consideration should therefore be given to the governing law of any (prospective) subsequent agreements as well. From a commercial perspective, it would be preferable to ensure that the governing law and jurisdiction clauses across a suite of related agreements are the same. This would minimise the risk of a party subsequently having to defend claims relating to the same transaction across different jurisdictions.</paratext>
                      </para>
                      <para>
                        <paratext>
                          For a case that considers the issue of conflicting jurisdiction clauses in two separate but related agreements, see 
                          <link href="9-595-2886" style="ACTLinkPLCtoPLC">
                            <ital>Legal update, High Court considers conflicting jurisdiction clauses in a novation deed and novated agreement</ital>
                          </link>
                          .
                        </paratext>
                      </para>
                    </division>
                  </division>
                </division>
              </drafting.note>
            </subclause1>
          </clause>
        </operative>
        <testimonium default="true" wording="contract">
          <para>
            <paratext>This agreement has been entered into on the date stated at the beginning of it.</paratext>
          </para>
        </testimonium>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PARTY 1]</paratext>
                        </para>
                      </entry>
                      <entry valign="top">
                        <para>
                          <paratext/>
                        </para>
                      </entry>
                      <entry valign="top">
                        <para align="left">
                          <paratext>....................</paratext>
                        </para>
                        <para align="left">
                          <paratext>Director</paratext>
                        </para>
                      </entry>
                    </row>
                    <row>
                      <entry valign="top">
                        <para align="left">
                          <paratext>Signed by [NAME OF DIRECTOR] for and on behalf of [NAME OF PARTY 2]</paratext>
                        </para>
                      </entry>
                      <entry valign="top">
                        <para>
                          <paratext/>
                        </para>
                      </entry>
                      <entry valign="top">
                        <para align="left">
                          <paratext>....................</paratext>
                        </para>
                        <para align="left">
                          <paratext>Director</paratext>
                        </para>
                      </entry>
                    </row>
                  </tbody>
                </tgroup>
              </table>
            </paratext>
          </para>
        </signature>
      </body>
      <rev.history>
        <rev.item>
          <rev.title>AI and machine learning (January 2025)</rev.title>
          <rev.date>20250113</rev.date>
          <rev.author>PL Commercial</rev.author>
          <rev.body>
            <division id="a000001" level="1">
              <para>
                <paratext>
                  We have included new 
                  <internal.reference refid="a407383">clause 3.1(g)</internal.reference>
                   which provides for two possible approaches to the recipient’s potential use of AI and machine learning and how this interfaces with the need to protect the confidential information disclosed.
                </paratext>
              </para>
            </division>
          </rev.body>
        </rev.item>
        <rev.item>
          <rev.title>Solicitors' regulatory obligations relating to the use of NDAs (October 2024)</rev.title>
          <rev.date>20241016</rev.date>
          <rev.author>PL Commercial</rev.author>
          <rev.body>
            <division id="a000002" level="1">
              <para>
                <paratext>
                  We have inserted new 
                  <internal.reference refid="a140597">Drafting note, Solicitors' regulatory obligations relating to use of NDAs</internal.reference>
                   to remind subscribers of the Solicitors Regulation Authority (SRA)'s 
                  <link href="https://www.sra.org.uk/solicitors/guidance/non-disclosure-agreements-ndas/" style="ACTLinkURL">
                    <ital>warning notice</ital>
                  </link>
                   (Warning Notice) on the use of NDAs which was updated in August 2024, and provides a reminder of some of the key issues and risks associated with negotiating, drafting, advising on, enforcing or being a party to any NDA, including those used in commercial transactions.
                </paratext>
              </para>
            </division>
          </rev.body>
        </rev.item>
        <rev.item>
          <rev.title>Possible effect of a non-compete covenant in an NDA (August 2021)</rev.title>
          <rev.date>20210803</rev.date>
          <rev.author>Practical Law Commercial</rev.author>
          <rev.body>
            <division id="a000003" level="1">
              <para>
                <paratext>
                  We have updated the drafting notes to make reference to the comment made by the Supreme Court in 
                  <link href="D-106-1455" style="ACTLinkPLCtoPLC">
                    <ital>Harcus Sinclair LLP and another v Your Lawyers Ltd [2021] UKSC 32</ital>
                  </link>
                  , that a non-compete undertaking may be a useful means of protecting confidential information in an NDA.
                </paratext>
              </para>
            </division>
          </rev.body>
        </rev.item>
        <rev.item>
          <rev.title>Equitable duty of confidence not affected by Trade Secrets Directive (March 2020)</rev.title>
          <rev.date>20200330</rev.date>
          <rev.author>PL Commercial</rev.author>
          <rev.body>
            <division id="a000004" level="1">
              <para>
                <paratext>
                  We have updated the drafting notes to this Standard document to make reference to High Court's decision in 
                  <link href="https://uk.practicallaw.thomsonreuters.com/D-104-7896?originationContext=document&amp;amp;transitionType=PLDocumentLink&amp;amp;contextData=%28sc.Default%29&amp;amp;comp=pluk" style="ACTLinkURL">
                    <ital>Trailfinders Ltd v Travel Counsellors Ltd &amp; Ors [2020] EWHC 591 (IPEC)</ital>
                  </link>
                  <ital> </ital>
                  seemingly the first judicial reference made to the 
                  <link href="w-015-1298" style="ACTLinkPLCtoPLC">
                    <ital>Trade Secrets Directive</ital>
                  </link>
                  <ital> </ital>
                  (
                  <ital>2016/943/EU</ital>
                  ) shedding some light on its interplay with the equitable doctrine of confidence.
                </paratext>
              </para>
            </division>
          </rev.body>
        </rev.item>
      </rev.history>
    </standard.doc>
  </n-docbody>
</n-document>
</file>

<file path=customXml/item2.xml><?xml version="1.0" encoding="utf-8"?>
<cdm:cachedDataManifest xmlns:cdm="http://schemas.microsoft.com/2004/VisualStudio/Tools/Applications/CachedDataManifest.xsd" cdm:revision="1"/>
</file>

<file path=customXml/item3.xml><?xml version="1.0" encoding="utf-8"?>
<ns30:Source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FB7761DB-B5B6-4445-9D33-249FCC9809F3}">
  <ds:schemaRefs>
    <ds:schemaRef ds:uri="http://www.w3.org/2001/XMLSchema"/>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477A5FCB-40BE-4070-ADA8-B9367E2DE521}">
  <ds:schemaRefs>
    <ds:schemaRef ds:uri="http://schemas.openxmlformats.org/wordprocessingml/2006/main"/>
    <ds:schemaRef ds:uri="http://schemas.openxmlformats.org/officeDocument/2006/relationships"/>
    <ds:schemaRef ds:uri="http://schemas.microsoft.com/office/word/2012/wordml"/>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11</Pages>
  <Words>2602</Words>
  <Characters>13871</Characters>
  <Application>Microsoft Office Word</Application>
  <DocSecurity>0</DocSecurity>
  <Lines>301</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Jessica</dc:creator>
  <cp:keywords/>
  <dc:description/>
  <cp:lastModifiedBy>Usman Ahmed</cp:lastModifiedBy>
  <cp:revision>22</cp:revision>
  <dcterms:created xsi:type="dcterms:W3CDTF">2025-12-09T23:09:00Z</dcterms:created>
  <dcterms:modified xsi:type="dcterms:W3CDTF">2025-12-11T14:11:00Z</dcterms:modified>
</cp:coreProperties>
</file>