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CAEEB" w14:textId="156C84C7" w:rsidR="00B2760B" w:rsidRDefault="399B4B98" w:rsidP="399B4B98">
      <w:bookmarkStart w:id="0" w:name="_GoBack"/>
      <w:bookmarkEnd w:id="0"/>
      <w:proofErr w:type="spellStart"/>
      <w:r w:rsidRPr="399B4B98">
        <w:rPr>
          <w:b/>
          <w:bCs/>
          <w:sz w:val="28"/>
          <w:szCs w:val="28"/>
          <w:u w:val="single"/>
        </w:rPr>
        <w:t>Externel</w:t>
      </w:r>
      <w:proofErr w:type="spellEnd"/>
      <w:r w:rsidRPr="399B4B98">
        <w:rPr>
          <w:b/>
          <w:bCs/>
          <w:sz w:val="28"/>
          <w:szCs w:val="28"/>
          <w:u w:val="single"/>
        </w:rPr>
        <w:t xml:space="preserve"> style</w:t>
      </w:r>
      <w:r w:rsidR="007E0782">
        <w:br/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An </w:t>
      </w:r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external stylesheet</w:t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is a standalone . </w:t>
      </w:r>
      <w:proofErr w:type="spellStart"/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css</w:t>
      </w:r>
      <w:proofErr w:type="spellEnd"/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file that is linked from a web page. ... An </w:t>
      </w:r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internal stylesheet</w:t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holds </w:t>
      </w:r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CSS</w:t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rules for the page in the head section of the HTML file. The rules only apply to that page, but you can configure </w:t>
      </w:r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CSS</w:t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classes and IDs that can be used to </w:t>
      </w:r>
      <w:r w:rsidRPr="399B4B98">
        <w:rPr>
          <w:rFonts w:ascii="Arial" w:eastAsia="Arial" w:hAnsi="Arial" w:cs="Arial"/>
          <w:b/>
          <w:bCs/>
          <w:color w:val="222222"/>
          <w:sz w:val="24"/>
          <w:szCs w:val="24"/>
        </w:rPr>
        <w:t>style</w:t>
      </w:r>
      <w:r w:rsidRPr="399B4B98">
        <w:rPr>
          <w:rFonts w:ascii="Arial" w:eastAsia="Arial" w:hAnsi="Arial" w:cs="Arial"/>
          <w:color w:val="222222"/>
          <w:sz w:val="24"/>
          <w:szCs w:val="24"/>
        </w:rPr>
        <w:t xml:space="preserve"> multiple elements in the page code</w:t>
      </w:r>
    </w:p>
    <w:p w14:paraId="19828C61" w14:textId="585773D9" w:rsidR="00B2760B" w:rsidRDefault="007E0782" w:rsidP="399B4B98">
      <w:r>
        <w:rPr>
          <w:noProof/>
        </w:rPr>
        <w:drawing>
          <wp:inline distT="0" distB="0" distL="0" distR="0" wp14:anchorId="17DAB394" wp14:editId="36242B9C">
            <wp:extent cx="6172200" cy="4295775"/>
            <wp:effectExtent l="0" t="0" r="0" b="0"/>
            <wp:docPr id="1174316206" name="Picture 1174316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9DF1FA2" w:rsidR="00B2760B" w:rsidRDefault="007E0782" w:rsidP="399B4B98">
      <w:r>
        <w:rPr>
          <w:noProof/>
        </w:rPr>
        <w:lastRenderedPageBreak/>
        <w:drawing>
          <wp:inline distT="0" distB="0" distL="0" distR="0" wp14:anchorId="52F3CE46" wp14:editId="60DF24F9">
            <wp:extent cx="5943600" cy="3905250"/>
            <wp:effectExtent l="0" t="0" r="0" b="0"/>
            <wp:docPr id="878407985" name="Picture 878407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BE2" w14:textId="49B6B755" w:rsidR="399B4B98" w:rsidRDefault="399B4B98" w:rsidP="399B4B98">
      <w:r>
        <w:rPr>
          <w:noProof/>
        </w:rPr>
        <w:drawing>
          <wp:inline distT="0" distB="0" distL="0" distR="0" wp14:anchorId="07E214C3" wp14:editId="0E04B2B6">
            <wp:extent cx="6048375" cy="3152775"/>
            <wp:effectExtent l="0" t="0" r="0" b="0"/>
            <wp:docPr id="622353500" name="Picture 62235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9B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FB7DB"/>
    <w:rsid w:val="007E0782"/>
    <w:rsid w:val="00B2760B"/>
    <w:rsid w:val="399B4B98"/>
    <w:rsid w:val="600FB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7DB"/>
  <w15:chartTrackingRefBased/>
  <w15:docId w15:val="{DEAF503E-A317-4A03-B9D5-645BCDD8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2</cp:revision>
  <dcterms:created xsi:type="dcterms:W3CDTF">2020-03-11T17:33:00Z</dcterms:created>
  <dcterms:modified xsi:type="dcterms:W3CDTF">2020-03-11T17:33:00Z</dcterms:modified>
</cp:coreProperties>
</file>