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90867" w14:textId="77777777" w:rsidR="00C6570D" w:rsidRDefault="00C6570D" w:rsidP="00C6570D">
      <w:pPr>
        <w:pStyle w:val="Heading1"/>
      </w:pPr>
      <w:r>
        <w:t>Commercial Construction Agreement</w:t>
      </w:r>
    </w:p>
    <w:p w14:paraId="3FB3F77A" w14:textId="18C416A9" w:rsidR="00340D05" w:rsidRDefault="00C6570D" w:rsidP="00C6570D">
      <w:pPr>
        <w:pStyle w:val="Heading1"/>
      </w:pPr>
      <w:r>
        <w:t>Ahmed Khan v. City Builders Ltd.</w:t>
      </w:r>
    </w:p>
    <w:p w14:paraId="371089E8" w14:textId="77777777" w:rsidR="00C6570D" w:rsidRDefault="00C6570D" w:rsidP="00C6570D"/>
    <w:p w14:paraId="36373F52" w14:textId="65638612" w:rsidR="00C6570D" w:rsidRDefault="00C6570D" w:rsidP="00C6570D">
      <w:r w:rsidRPr="00C6570D">
        <w:t>On 15 January 2025, Ahmed Khan entered into a commercial construction agreement with City Builders Ltd. for the construction of a three-story shopping plaza located in Lahore. The total contract value was PKR 18,500,000. According to Clause 4 of the agreement, construction was required to begin no later than 1 February 2025 and be completed by 30 September 2025. City Builders Ltd. agreed that delays beyond the completion date would result in liquidated damages of PKR 75,000 for every calendar day of delay unless the delay resulted from force majeure events specifically identified in the agreement.</w:t>
      </w:r>
    </w:p>
    <w:p w14:paraId="73D3A10A" w14:textId="23C596AA" w:rsidR="00C6570D" w:rsidRDefault="00C6570D" w:rsidP="00C6570D">
      <w:r w:rsidRPr="00C6570D">
        <w:t>Construction began on schedule, but several progress reports indicated that the contractor repeatedly failed to supply sufficient labor and construction materials. Between June and August 2025, multiple inspections documented that fewer than half of the required workers were present at the construction site. Ahmed Khan sent three written notices requesting corrective action. The contractor responded that material shortages caused by internal procurement issues prevented timely completion. The agreement, however, clearly stated that supplier-related shortages would not qualify as force majeure unless officially declared by government authorities.</w:t>
      </w:r>
    </w:p>
    <w:p w14:paraId="06F81B21" w14:textId="47C44E1D" w:rsidR="00C6570D" w:rsidRDefault="00C6570D" w:rsidP="00C6570D">
      <w:r w:rsidRPr="00C6570D">
        <w:t>The project was finally completed on 18 November 2025, resulting in a total delay of forty-nine calendar days beyond the contractual completion date. Ahmed Khan demanded liquidated damages totaling PKR 3,675,000. City Builders Ltd. rejected the demand, arguing that unexpected increases in steel prices and transportation expenses made timely completion commercially unreasonable. Ahmed Khan subsequently initiated legal proceedings seeking damages, reimbursement of inspection costs, and legal fees.</w:t>
      </w:r>
    </w:p>
    <w:p w14:paraId="757AE82F" w14:textId="73E78CF0" w:rsidR="00C6570D" w:rsidRDefault="00C6570D" w:rsidP="00C6570D">
      <w:r w:rsidRPr="00C6570D">
        <w:t>During preliminary hearings, both parties agreed that the contract itself was authentic and legally executed. The primary dispute before the court concerns whether internal supply chain failures constitute force majeure under Clause 11 of the agreement. The plaintiff maintains that commercial difficulties do not excuse contractual performance, while the defendant argues that extraordinary market conditions should relieve liability. Expert testimony regarding standard construction practices is expected during trial.</w:t>
      </w:r>
    </w:p>
    <w:p w14:paraId="3373D39F" w14:textId="77777777" w:rsidR="00C6570D" w:rsidRDefault="00C6570D" w:rsidP="00C6570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2267"/>
        <w:gridCol w:w="3542"/>
      </w:tblGrid>
      <w:tr w:rsidR="00C6570D" w:rsidRPr="00C6570D" w14:paraId="5F3061F1" w14:textId="77777777">
        <w:trPr>
          <w:tblHeader/>
          <w:tblCellSpacing w:w="15" w:type="dxa"/>
        </w:trPr>
        <w:tc>
          <w:tcPr>
            <w:tcW w:w="0" w:type="auto"/>
            <w:vAlign w:val="center"/>
            <w:hideMark/>
          </w:tcPr>
          <w:p w14:paraId="7489C6C3" w14:textId="77777777" w:rsidR="00C6570D" w:rsidRPr="00C6570D" w:rsidRDefault="00C6570D" w:rsidP="00C6570D">
            <w:pPr>
              <w:rPr>
                <w:b/>
                <w:bCs/>
              </w:rPr>
            </w:pPr>
            <w:r w:rsidRPr="00C6570D">
              <w:rPr>
                <w:b/>
                <w:bCs/>
              </w:rPr>
              <w:lastRenderedPageBreak/>
              <w:t>Clause</w:t>
            </w:r>
          </w:p>
        </w:tc>
        <w:tc>
          <w:tcPr>
            <w:tcW w:w="0" w:type="auto"/>
            <w:vAlign w:val="center"/>
            <w:hideMark/>
          </w:tcPr>
          <w:p w14:paraId="649B228B" w14:textId="77777777" w:rsidR="00C6570D" w:rsidRPr="00C6570D" w:rsidRDefault="00C6570D" w:rsidP="00C6570D">
            <w:pPr>
              <w:rPr>
                <w:b/>
                <w:bCs/>
              </w:rPr>
            </w:pPr>
            <w:r w:rsidRPr="00C6570D">
              <w:rPr>
                <w:b/>
                <w:bCs/>
              </w:rPr>
              <w:t>Description</w:t>
            </w:r>
          </w:p>
        </w:tc>
        <w:tc>
          <w:tcPr>
            <w:tcW w:w="0" w:type="auto"/>
            <w:vAlign w:val="center"/>
            <w:hideMark/>
          </w:tcPr>
          <w:p w14:paraId="2E892A81" w14:textId="77777777" w:rsidR="00C6570D" w:rsidRPr="00C6570D" w:rsidRDefault="00C6570D" w:rsidP="00C6570D">
            <w:pPr>
              <w:rPr>
                <w:b/>
                <w:bCs/>
              </w:rPr>
            </w:pPr>
            <w:r w:rsidRPr="00C6570D">
              <w:rPr>
                <w:b/>
                <w:bCs/>
              </w:rPr>
              <w:t>Status</w:t>
            </w:r>
          </w:p>
        </w:tc>
      </w:tr>
      <w:tr w:rsidR="00C6570D" w:rsidRPr="00C6570D" w14:paraId="0AF301F6" w14:textId="77777777">
        <w:trPr>
          <w:tblCellSpacing w:w="15" w:type="dxa"/>
        </w:trPr>
        <w:tc>
          <w:tcPr>
            <w:tcW w:w="0" w:type="auto"/>
            <w:vAlign w:val="center"/>
            <w:hideMark/>
          </w:tcPr>
          <w:p w14:paraId="5E2A348A" w14:textId="77777777" w:rsidR="00C6570D" w:rsidRPr="00C6570D" w:rsidRDefault="00C6570D" w:rsidP="00C6570D">
            <w:r w:rsidRPr="00C6570D">
              <w:t>Clause 4</w:t>
            </w:r>
          </w:p>
        </w:tc>
        <w:tc>
          <w:tcPr>
            <w:tcW w:w="0" w:type="auto"/>
            <w:vAlign w:val="center"/>
            <w:hideMark/>
          </w:tcPr>
          <w:p w14:paraId="142E71BF" w14:textId="77777777" w:rsidR="00C6570D" w:rsidRPr="00C6570D" w:rsidRDefault="00C6570D" w:rsidP="00C6570D">
            <w:r w:rsidRPr="00C6570D">
              <w:t>Completion Deadline</w:t>
            </w:r>
          </w:p>
        </w:tc>
        <w:tc>
          <w:tcPr>
            <w:tcW w:w="0" w:type="auto"/>
            <w:vAlign w:val="center"/>
            <w:hideMark/>
          </w:tcPr>
          <w:p w14:paraId="54CE572B" w14:textId="77777777" w:rsidR="00C6570D" w:rsidRPr="00C6570D" w:rsidRDefault="00C6570D" w:rsidP="00C6570D">
            <w:r w:rsidRPr="00C6570D">
              <w:t>30 Sep 2025</w:t>
            </w:r>
          </w:p>
        </w:tc>
      </w:tr>
      <w:tr w:rsidR="00C6570D" w:rsidRPr="00C6570D" w14:paraId="65B0AF74" w14:textId="77777777">
        <w:trPr>
          <w:tblCellSpacing w:w="15" w:type="dxa"/>
        </w:trPr>
        <w:tc>
          <w:tcPr>
            <w:tcW w:w="0" w:type="auto"/>
            <w:vAlign w:val="center"/>
            <w:hideMark/>
          </w:tcPr>
          <w:p w14:paraId="279EFF14" w14:textId="77777777" w:rsidR="00C6570D" w:rsidRPr="00C6570D" w:rsidRDefault="00C6570D" w:rsidP="00C6570D">
            <w:r w:rsidRPr="00C6570D">
              <w:t>Clause 8</w:t>
            </w:r>
          </w:p>
        </w:tc>
        <w:tc>
          <w:tcPr>
            <w:tcW w:w="0" w:type="auto"/>
            <w:vAlign w:val="center"/>
            <w:hideMark/>
          </w:tcPr>
          <w:p w14:paraId="19AC6B66" w14:textId="77777777" w:rsidR="00C6570D" w:rsidRPr="00C6570D" w:rsidRDefault="00C6570D" w:rsidP="00C6570D">
            <w:r w:rsidRPr="00C6570D">
              <w:t>Liquidated Damages</w:t>
            </w:r>
          </w:p>
        </w:tc>
        <w:tc>
          <w:tcPr>
            <w:tcW w:w="0" w:type="auto"/>
            <w:vAlign w:val="center"/>
            <w:hideMark/>
          </w:tcPr>
          <w:p w14:paraId="06A0E653" w14:textId="77777777" w:rsidR="00C6570D" w:rsidRPr="00C6570D" w:rsidRDefault="00C6570D" w:rsidP="00C6570D">
            <w:r w:rsidRPr="00C6570D">
              <w:t>PKR 75,000/day</w:t>
            </w:r>
          </w:p>
        </w:tc>
      </w:tr>
      <w:tr w:rsidR="00C6570D" w:rsidRPr="00C6570D" w14:paraId="1974B471" w14:textId="77777777">
        <w:trPr>
          <w:tblCellSpacing w:w="15" w:type="dxa"/>
        </w:trPr>
        <w:tc>
          <w:tcPr>
            <w:tcW w:w="0" w:type="auto"/>
            <w:vAlign w:val="center"/>
            <w:hideMark/>
          </w:tcPr>
          <w:p w14:paraId="4647E2E9" w14:textId="77777777" w:rsidR="00C6570D" w:rsidRPr="00C6570D" w:rsidRDefault="00C6570D" w:rsidP="00C6570D">
            <w:r w:rsidRPr="00C6570D">
              <w:t>Clause 11</w:t>
            </w:r>
          </w:p>
        </w:tc>
        <w:tc>
          <w:tcPr>
            <w:tcW w:w="0" w:type="auto"/>
            <w:vAlign w:val="center"/>
            <w:hideMark/>
          </w:tcPr>
          <w:p w14:paraId="4ED8E274" w14:textId="77777777" w:rsidR="00C6570D" w:rsidRPr="00C6570D" w:rsidRDefault="00C6570D" w:rsidP="00C6570D">
            <w:r w:rsidRPr="00C6570D">
              <w:t>Force Majeure</w:t>
            </w:r>
          </w:p>
        </w:tc>
        <w:tc>
          <w:tcPr>
            <w:tcW w:w="0" w:type="auto"/>
            <w:vAlign w:val="center"/>
            <w:hideMark/>
          </w:tcPr>
          <w:p w14:paraId="717465DD" w14:textId="77777777" w:rsidR="00C6570D" w:rsidRPr="00C6570D" w:rsidRDefault="00C6570D" w:rsidP="00C6570D">
            <w:r w:rsidRPr="00C6570D">
              <w:t>Government declared events only</w:t>
            </w:r>
          </w:p>
        </w:tc>
      </w:tr>
    </w:tbl>
    <w:p w14:paraId="3D97983B" w14:textId="77777777" w:rsidR="00C6570D" w:rsidRDefault="00C6570D" w:rsidP="00C6570D"/>
    <w:p w14:paraId="7546693F" w14:textId="1E84DFD4" w:rsidR="00C6570D" w:rsidRPr="00C6570D" w:rsidRDefault="00C6570D" w:rsidP="00C6570D">
      <w:r w:rsidRPr="00C6570D">
        <w:drawing>
          <wp:inline distT="0" distB="0" distL="0" distR="0" wp14:anchorId="6A8B7F29" wp14:editId="38649F12">
            <wp:extent cx="5943600" cy="4030980"/>
            <wp:effectExtent l="0" t="0" r="0" b="7620"/>
            <wp:docPr id="175973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36338" name=""/>
                    <pic:cNvPicPr/>
                  </pic:nvPicPr>
                  <pic:blipFill>
                    <a:blip r:embed="rId4"/>
                    <a:stretch>
                      <a:fillRect/>
                    </a:stretch>
                  </pic:blipFill>
                  <pic:spPr>
                    <a:xfrm>
                      <a:off x="0" y="0"/>
                      <a:ext cx="5943600" cy="4030980"/>
                    </a:xfrm>
                    <a:prstGeom prst="rect">
                      <a:avLst/>
                    </a:prstGeom>
                  </pic:spPr>
                </pic:pic>
              </a:graphicData>
            </a:graphic>
          </wp:inline>
        </w:drawing>
      </w:r>
    </w:p>
    <w:sectPr w:rsidR="00C6570D" w:rsidRPr="00C65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EB9"/>
    <w:rsid w:val="00283EB9"/>
    <w:rsid w:val="002D5CB8"/>
    <w:rsid w:val="00340D05"/>
    <w:rsid w:val="0040677A"/>
    <w:rsid w:val="00C6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6108F"/>
  <w15:chartTrackingRefBased/>
  <w15:docId w15:val="{3BC92859-F9CE-46D2-A74A-8F11BCAA3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EB9"/>
    <w:rPr>
      <w:rFonts w:eastAsiaTheme="majorEastAsia" w:cstheme="majorBidi"/>
      <w:color w:val="272727" w:themeColor="text1" w:themeTint="D8"/>
    </w:rPr>
  </w:style>
  <w:style w:type="paragraph" w:styleId="Title">
    <w:name w:val="Title"/>
    <w:basedOn w:val="Normal"/>
    <w:next w:val="Normal"/>
    <w:link w:val="TitleChar"/>
    <w:uiPriority w:val="10"/>
    <w:qFormat/>
    <w:rsid w:val="00283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EB9"/>
    <w:pPr>
      <w:spacing w:before="160"/>
      <w:jc w:val="center"/>
    </w:pPr>
    <w:rPr>
      <w:i/>
      <w:iCs/>
      <w:color w:val="404040" w:themeColor="text1" w:themeTint="BF"/>
    </w:rPr>
  </w:style>
  <w:style w:type="character" w:customStyle="1" w:styleId="QuoteChar">
    <w:name w:val="Quote Char"/>
    <w:basedOn w:val="DefaultParagraphFont"/>
    <w:link w:val="Quote"/>
    <w:uiPriority w:val="29"/>
    <w:rsid w:val="00283EB9"/>
    <w:rPr>
      <w:i/>
      <w:iCs/>
      <w:color w:val="404040" w:themeColor="text1" w:themeTint="BF"/>
    </w:rPr>
  </w:style>
  <w:style w:type="paragraph" w:styleId="ListParagraph">
    <w:name w:val="List Paragraph"/>
    <w:basedOn w:val="Normal"/>
    <w:uiPriority w:val="34"/>
    <w:qFormat/>
    <w:rsid w:val="00283EB9"/>
    <w:pPr>
      <w:ind w:left="720"/>
      <w:contextualSpacing/>
    </w:pPr>
  </w:style>
  <w:style w:type="character" w:styleId="IntenseEmphasis">
    <w:name w:val="Intense Emphasis"/>
    <w:basedOn w:val="DefaultParagraphFont"/>
    <w:uiPriority w:val="21"/>
    <w:qFormat/>
    <w:rsid w:val="00283EB9"/>
    <w:rPr>
      <w:i/>
      <w:iCs/>
      <w:color w:val="0F4761" w:themeColor="accent1" w:themeShade="BF"/>
    </w:rPr>
  </w:style>
  <w:style w:type="paragraph" w:styleId="IntenseQuote">
    <w:name w:val="Intense Quote"/>
    <w:basedOn w:val="Normal"/>
    <w:next w:val="Normal"/>
    <w:link w:val="IntenseQuoteChar"/>
    <w:uiPriority w:val="30"/>
    <w:qFormat/>
    <w:rsid w:val="00283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EB9"/>
    <w:rPr>
      <w:i/>
      <w:iCs/>
      <w:color w:val="0F4761" w:themeColor="accent1" w:themeShade="BF"/>
    </w:rPr>
  </w:style>
  <w:style w:type="character" w:styleId="IntenseReference">
    <w:name w:val="Intense Reference"/>
    <w:basedOn w:val="DefaultParagraphFont"/>
    <w:uiPriority w:val="32"/>
    <w:qFormat/>
    <w:rsid w:val="00283E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SP24-BAI-048(USMAN AHMAD)</dc:creator>
  <cp:keywords/>
  <dc:description/>
  <cp:lastModifiedBy>SP24-BAI-048(USMAN AHMAD)</cp:lastModifiedBy>
  <cp:revision>2</cp:revision>
  <dcterms:created xsi:type="dcterms:W3CDTF">2026-07-29T20:12:00Z</dcterms:created>
  <dcterms:modified xsi:type="dcterms:W3CDTF">2026-07-29T20:16:00Z</dcterms:modified>
</cp:coreProperties>
</file>