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32"/>
        </w:rPr>
        <w:t>NIGERIAN PORTS AUTHORITY</w:t>
      </w:r>
    </w:p>
    <w:p>
      <w:pPr>
        <w:jc w:val="center"/>
      </w:pPr>
      <w:r>
        <w:rPr>
          <w:sz w:val="24"/>
        </w:rPr>
        <w:t>Medical Services Department</w:t>
      </w:r>
    </w:p>
    <w:p>
      <w:pPr>
        <w:jc w:val="center"/>
      </w:pPr>
      <w:r>
        <w:rPr>
          <w:i/>
          <w:sz w:val="22"/>
        </w:rPr>
        <w:t>ICT Division — Software Applications and Database Management</w:t>
      </w:r>
    </w:p>
    <w:p/>
    <w:p>
      <w:pPr>
        <w:jc w:val="center"/>
      </w:pPr>
      <w:r>
        <w:rPr>
          <w:b/>
          <w:color w:val="1F3A5F"/>
          <w:sz w:val="30"/>
        </w:rPr>
        <w:t>PROJECT COMPLETION REPORT</w:t>
      </w:r>
    </w:p>
    <w:p>
      <w:pPr>
        <w:jc w:val="center"/>
      </w:pPr>
      <w:r>
        <w:rPr>
          <w:b/>
          <w:sz w:val="24"/>
        </w:rPr>
        <w:t>Design, Development, Deployment and Go-Live of the</w:t>
        <w:br/>
        <w:t>Electronic Medical Records (EMR) System</w:t>
      </w:r>
    </w:p>
    <w:p>
      <w:pPr>
        <w:jc w:val="center"/>
      </w:pPr>
      <w:r>
        <w:rPr>
          <w:sz w:val="22"/>
        </w:rPr>
        <w:t>Bode Thomas Clinic</w:t>
      </w:r>
    </w:p>
    <w:p>
      <w:pPr>
        <w:jc w:val="center"/>
      </w:pPr>
      <w:r>
        <w:rPr>
          <w:i/>
          <w:sz w:val="20"/>
        </w:rPr>
        <w:t>Prepared by: ICT Division (Software Applications and Database Management)</w:t>
        <w:br/>
        <w:t>Lead Developers: Mr Uthman Musa Yaro and Mr Akpos [Full Name]</w:t>
        <w:br/>
        <w:t>Document Type: Project Completion Report (Compressed / Current-System Aligned)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Medical Division historically depended on paper folders. That caused delayed care, fragmented clinical information, weak reporting, limited auditability, and growing storage pressure. An earlier consultant-led EMR initiative did not reach operational go-live.</w:t>
      </w:r>
    </w:p>
    <w:p>
      <w:r>
        <w:t>The ICT Division (Software Applications and Database Management), through Mr Uthman Musa Yaro and Mr Akpos [Full Name], designed and delivered an in-house EMR with Medical Services end users, using iterative demonstrations, departmental reviews, User Acceptance Testing (UAT), and an extended parallel run.</w:t>
      </w:r>
    </w:p>
    <w:p>
      <w:r>
        <w:t>The system is now live at Bode Thomas Clinic and supports the full patient journey electronically—registration through nursing, consultation, investigations, pharmacy, rehabilitation, eye care, ward/observation care, reporting, and administration—under role-based access control (RBAC) and audit trails.</w:t>
      </w:r>
    </w:p>
    <w:p>
      <w:r>
        <w:t>Main remaining constraints are infrastructure and change management (power, network, workstations, training), not core software capability. The platform is suitable for phased expansion to other NPA medical facilities.</w:t>
      </w:r>
    </w:p>
    <w:p>
      <w:pPr>
        <w:pStyle w:val="Heading1"/>
      </w:pPr>
      <w:r>
        <w:t>2. Background</w:t>
      </w:r>
    </w:p>
    <w:p>
      <w:pPr>
        <w:pStyle w:val="Heading2"/>
      </w:pPr>
      <w:r>
        <w:t>2.1 Paper-based workflow</w:t>
      </w:r>
    </w:p>
    <w:p>
      <w:r>
        <w:t>Prior to EMR go-live, a typical visit depended on physical folder movement:</w:t>
      </w:r>
    </w:p>
    <w:p>
      <w:pPr>
        <w:pStyle w:val="ListBullet"/>
        <w:spacing w:after="60"/>
        <w:ind w:left="360"/>
      </w:pPr>
      <w:r>
        <w:t>Retrieval or creation of a physical patient folder</w:t>
      </w:r>
    </w:p>
    <w:p>
      <w:pPr>
        <w:pStyle w:val="ListBullet"/>
        <w:spacing w:after="60"/>
        <w:ind w:left="360"/>
      </w:pPr>
      <w:r>
        <w:t>Registration at Medical Records</w:t>
      </w:r>
    </w:p>
    <w:p>
      <w:pPr>
        <w:pStyle w:val="ListBullet"/>
        <w:spacing w:after="60"/>
        <w:ind w:left="360"/>
      </w:pPr>
      <w:r>
        <w:t>Nursing unit for vital signs</w:t>
      </w:r>
    </w:p>
    <w:p>
      <w:pPr>
        <w:pStyle w:val="ListBullet"/>
        <w:spacing w:after="60"/>
        <w:ind w:left="360"/>
      </w:pPr>
      <w:r>
        <w:t>Consulting room for clinical review</w:t>
      </w:r>
    </w:p>
    <w:p>
      <w:pPr>
        <w:pStyle w:val="ListBullet"/>
        <w:spacing w:after="60"/>
        <w:ind w:left="360"/>
      </w:pPr>
      <w:r>
        <w:t>Laboratory and/or Radiology where applicable</w:t>
      </w:r>
    </w:p>
    <w:p>
      <w:pPr>
        <w:pStyle w:val="ListBullet"/>
        <w:spacing w:after="60"/>
        <w:ind w:left="360"/>
      </w:pPr>
      <w:r>
        <w:t>Pharmacy for medication dispensing</w:t>
      </w:r>
    </w:p>
    <w:p>
      <w:pPr>
        <w:pStyle w:val="ListBullet"/>
        <w:spacing w:after="60"/>
        <w:ind w:left="360"/>
      </w:pPr>
      <w:r>
        <w:t>Return of the folder to Medical Records for filing</w:t>
      </w:r>
    </w:p>
    <w:p>
      <w:pPr>
        <w:pStyle w:val="Heading2"/>
      </w:pPr>
      <w:r>
        <w:t>2.2 Key problems</w:t>
      </w:r>
    </w:p>
    <w:p>
      <w:pPr>
        <w:pStyle w:val="ListBullet"/>
        <w:spacing w:after="60"/>
        <w:ind w:left="360"/>
      </w:pPr>
      <w:r>
        <w:t>Delays caused by locating and transporting folders</w:t>
      </w:r>
    </w:p>
    <w:p>
      <w:pPr>
        <w:pStyle w:val="ListBullet"/>
        <w:spacing w:after="60"/>
        <w:ind w:left="360"/>
      </w:pPr>
      <w:r>
        <w:t>Only one department could use a record at a time</w:t>
      </w:r>
    </w:p>
    <w:p>
      <w:pPr>
        <w:pStyle w:val="ListBullet"/>
        <w:spacing w:after="60"/>
        <w:ind w:left="360"/>
      </w:pPr>
      <w:r>
        <w:t>Fragmented longitudinal patient history</w:t>
      </w:r>
    </w:p>
    <w:p>
      <w:pPr>
        <w:pStyle w:val="ListBullet"/>
        <w:spacing w:after="60"/>
        <w:ind w:left="360"/>
      </w:pPr>
      <w:r>
        <w:t>Risk of missing, damaged, or misfiled records</w:t>
      </w:r>
    </w:p>
    <w:p>
      <w:pPr>
        <w:pStyle w:val="ListBullet"/>
        <w:spacing w:after="60"/>
        <w:ind w:left="360"/>
      </w:pPr>
      <w:r>
        <w:t>Labour-intensive and error-prone statistics</w:t>
      </w:r>
    </w:p>
    <w:p>
      <w:pPr>
        <w:pStyle w:val="ListBullet"/>
        <w:spacing w:after="60"/>
        <w:ind w:left="360"/>
      </w:pPr>
      <w:r>
        <w:t>No reliable audit trail of access or changes</w:t>
      </w:r>
    </w:p>
    <w:p>
      <w:pPr>
        <w:pStyle w:val="ListBullet"/>
        <w:spacing w:after="60"/>
        <w:ind w:left="360"/>
      </w:pPr>
      <w:r>
        <w:t>Growing physical storage requirements</w:t>
      </w:r>
    </w:p>
    <w:p>
      <w:pPr>
        <w:pStyle w:val="Heading2"/>
      </w:pPr>
      <w:r>
        <w:t>2.3 Previous initiative and in-house decision</w:t>
      </w:r>
    </w:p>
    <w:p>
      <w:r>
        <w:t>An externally procured EMR project did not achieve operational deployment. ICT therefore developed a fit-for-purpose in-house system with Medical Records, Nursing, Medical Officers, Pharmacy, Laboratory, Radiology, Physiotherapy, Ophthalmology/Eye Clinic, and Medical Administration.</w:t>
      </w:r>
    </w:p>
    <w:p>
      <w:pPr>
        <w:pStyle w:val="Heading1"/>
      </w:pPr>
      <w:r>
        <w:t>3. Objectives and Scope</w:t>
      </w:r>
    </w:p>
    <w:p>
      <w:pPr>
        <w:pStyle w:val="Heading2"/>
      </w:pPr>
      <w:r>
        <w:t>3.1 Objectives</w:t>
      </w:r>
    </w:p>
    <w:p>
      <w:pPr>
        <w:pStyle w:val="ListBullet"/>
        <w:spacing w:after="60"/>
        <w:ind w:left="360"/>
      </w:pPr>
      <w:r>
        <w:t>Replace paper processes with a secure, integrated electronic platform</w:t>
      </w:r>
    </w:p>
    <w:p>
      <w:pPr>
        <w:pStyle w:val="ListBullet"/>
        <w:spacing w:after="60"/>
        <w:ind w:left="360"/>
      </w:pPr>
      <w:r>
        <w:t>Give authorized staff concurrent access to one patient record</w:t>
      </w:r>
    </w:p>
    <w:p>
      <w:pPr>
        <w:pStyle w:val="ListBullet"/>
        <w:spacing w:after="60"/>
        <w:ind w:left="360"/>
      </w:pPr>
      <w:r>
        <w:t>Reduce waiting caused by folder movement</w:t>
      </w:r>
    </w:p>
    <w:p>
      <w:pPr>
        <w:pStyle w:val="ListBullet"/>
        <w:spacing w:after="60"/>
        <w:ind w:left="360"/>
      </w:pPr>
      <w:r>
        <w:t>Enforce RBAC and comprehensive audit trails</w:t>
      </w:r>
    </w:p>
    <w:p>
      <w:pPr>
        <w:pStyle w:val="ListBullet"/>
        <w:spacing w:after="60"/>
        <w:ind w:left="360"/>
      </w:pPr>
      <w:r>
        <w:t>Automate operational and management reports</w:t>
      </w:r>
    </w:p>
    <w:p>
      <w:pPr>
        <w:pStyle w:val="ListBullet"/>
        <w:spacing w:after="60"/>
        <w:ind w:left="360"/>
      </w:pPr>
      <w:r>
        <w:t>Build a scalable platform owned and maintained by ICT</w:t>
      </w:r>
    </w:p>
    <w:p>
      <w:pPr>
        <w:pStyle w:val="Heading2"/>
      </w:pPr>
      <w:r>
        <w:t>3.2 Delivered scope (live system)</w:t>
      </w:r>
    </w:p>
    <w:p>
      <w:r>
        <w:t>The following capabilities are live in the current EMR (aligned to the production application):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  <w:t>Capabilities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Medical Records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Registration (employee/dependent/retiree/non-NPA), search, visits, appointments, referrals, ICD-10 coding, diagnosis review, reports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Nursing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Pool/room queues, vitals, procedures (injection/dressing), ward care/observation, inventory &amp; requests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Consultation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Clinical documentation, ICD diagnosis, e-prescriptions, lab/radiology/physio/eye orders, ward rounds, referrals, medical certificates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Pharmacy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Prescriptions, dispensing (incl. partial/substitution), generics/drug master, dispensary + central + HOD store workflows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Laboratory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Orders, sample/result flow, verification, templates, analytics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Radiology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Study orders, verification, reporting/upload, templates, analytics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Physiotherapy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Orders, sessions, completed care, analytics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Eye Clinic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Orders, completed sessions, analytics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Ward / Observation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Admissions, bed assignment, doctor orders, nursing administration, handovers, discharge/escort documentation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HR / Programmes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Annual check-up programme and exemptions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Admin &amp; Security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Users, roles/permissions, clinics/rooms, settings, health monitoring, audit trail, support tickets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Analytics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Departmental and executive reporting</w:t>
            </w:r>
          </w:p>
        </w:tc>
      </w:tr>
    </w:tbl>
    <w:p/>
    <w:p>
      <w:pPr>
        <w:pStyle w:val="Heading2"/>
      </w:pPr>
      <w:r>
        <w:t>3.3 Remaining roadmap items</w:t>
      </w:r>
    </w:p>
    <w:p>
      <w:r>
        <w:t>Not fully complete as enterprise programmes:</w:t>
      </w:r>
    </w:p>
    <w:p>
      <w:pPr>
        <w:pStyle w:val="ListBullet"/>
        <w:spacing w:after="60"/>
        <w:ind w:left="360"/>
      </w:pPr>
      <w:r>
        <w:t>Bulk historical patient-folder digitization</w:t>
      </w:r>
    </w:p>
    <w:p>
      <w:pPr>
        <w:pStyle w:val="ListBullet"/>
        <w:spacing w:after="60"/>
        <w:ind w:left="360"/>
      </w:pPr>
      <w:r>
        <w:t>Deep instrument / LIS–RIS device integration</w:t>
      </w:r>
    </w:p>
    <w:p>
      <w:pPr>
        <w:pStyle w:val="ListBullet"/>
        <w:spacing w:after="60"/>
        <w:ind w:left="360"/>
      </w:pPr>
      <w:r>
        <w:t>Full mobile clinical application</w:t>
      </w:r>
    </w:p>
    <w:p>
      <w:pPr>
        <w:pStyle w:val="ListBullet"/>
        <w:spacing w:after="60"/>
        <w:ind w:left="360"/>
      </w:pPr>
      <w:r>
        <w:t>Multi-site Authority-wide rollout</w:t>
      </w:r>
    </w:p>
    <w:p>
      <w:pPr>
        <w:pStyle w:val="ListBullet"/>
        <w:spacing w:after="60"/>
        <w:ind w:left="360"/>
      </w:pPr>
      <w:r>
        <w:t>Advanced telemedicine</w:t>
      </w:r>
    </w:p>
    <w:p>
      <w:pPr>
        <w:pStyle w:val="Heading1"/>
      </w:pPr>
      <w:r>
        <w:t>4. Governance and Implementation Method</w:t>
      </w:r>
    </w:p>
    <w:p>
      <w:pPr>
        <w:pStyle w:val="ListBullet"/>
        <w:spacing w:after="60"/>
        <w:ind w:left="360"/>
      </w:pPr>
      <w:r>
        <w:t>Sponsored by Management; coordinated via the EMR Implementation Committee</w:t>
      </w:r>
    </w:p>
    <w:p>
      <w:pPr>
        <w:pStyle w:val="ListBullet"/>
        <w:spacing w:after="60"/>
        <w:ind w:left="360"/>
      </w:pPr>
      <w:r>
        <w:t>Built and supported in-house by ICT (Software Applications and Database Management)</w:t>
      </w:r>
    </w:p>
    <w:p>
      <w:pPr>
        <w:pStyle w:val="ListBullet"/>
        <w:spacing w:after="60"/>
        <w:ind w:left="360"/>
      </w:pPr>
      <w:r>
        <w:t>Agile cycles: requirements → build → demonstration → feedback → UAT → parallel run → go-live</w:t>
      </w:r>
    </w:p>
    <w:p>
      <w:pPr>
        <w:pStyle w:val="ListBullet"/>
        <w:spacing w:after="60"/>
        <w:ind w:left="360"/>
      </w:pPr>
      <w:r>
        <w:t>Change management through training, floor support, rapid fixes, and an open feedback channel</w:t>
      </w:r>
    </w:p>
    <w:p>
      <w:pPr>
        <w:pStyle w:val="Heading1"/>
      </w:pPr>
      <w:r>
        <w:t>5. Architecture Summary</w:t>
      </w:r>
    </w:p>
    <w:p>
      <w:r>
        <w:t>The EMR is a secure web application hosted on the Authority’s internal network (accessible at emr.npa.local). It follows a multi-tier design: browser presentation layer, application/business rules layer, and a centralized relational database.</w:t>
      </w:r>
    </w:p>
    <w:p>
      <w:r>
        <w:t>The design is modular by department while sharing one patient record. Security controls include individual authentication, Role-Based Access Control (RBAC), and activity audit logging. Reporting draws from live operational data.</w:t>
      </w:r>
    </w:p>
    <w:p>
      <w:r>
        <w:t>Clinical flow:</w:t>
      </w:r>
    </w:p>
    <w:p>
      <w:r>
        <w:rPr>
          <w:i/>
        </w:rPr>
        <w:t>Registration → Visit → Nursing → Consultation → Lab / Radiology / Eye / Physio (as needed) → Pharmacy → Ward / Observation (as needed) → Completion / Follow-up</w:t>
      </w:r>
    </w:p>
    <w:p>
      <w:pPr>
        <w:pStyle w:val="Heading1"/>
      </w:pPr>
      <w:r>
        <w:t>6. Deployment, Testing and Go-Live</w:t>
      </w:r>
    </w:p>
    <w:p>
      <w:pPr>
        <w:pStyle w:val="Heading2"/>
      </w:pPr>
      <w:r>
        <w:t>6.1 Implementation sequence</w:t>
      </w:r>
    </w:p>
    <w:p>
      <w:pPr>
        <w:pStyle w:val="ListBullet"/>
        <w:spacing w:after="60"/>
        <w:ind w:left="360"/>
      </w:pPr>
      <w:r>
        <w:t>1. Server, network, and user-account preparation</w:t>
      </w:r>
    </w:p>
    <w:p>
      <w:pPr>
        <w:pStyle w:val="ListBullet"/>
        <w:spacing w:after="60"/>
        <w:ind w:left="360"/>
      </w:pPr>
      <w:r>
        <w:t>2. Departmental demonstrations and practical training</w:t>
      </w:r>
    </w:p>
    <w:p>
      <w:pPr>
        <w:pStyle w:val="ListBullet"/>
        <w:spacing w:after="60"/>
        <w:ind w:left="360"/>
      </w:pPr>
      <w:r>
        <w:t>3. Formal User Acceptance Testing (UAT)</w:t>
      </w:r>
    </w:p>
    <w:p>
      <w:pPr>
        <w:pStyle w:val="ListBullet"/>
        <w:spacing w:after="60"/>
        <w:ind w:left="360"/>
      </w:pPr>
      <w:r>
        <w:t>4. Extended parallel run (paper + EMR)</w:t>
      </w:r>
    </w:p>
    <w:p>
      <w:pPr>
        <w:pStyle w:val="ListBullet"/>
        <w:spacing w:after="60"/>
        <w:ind w:left="360"/>
      </w:pPr>
      <w:r>
        <w:t>5. Continuous improvements (search, statistics, diagnosis, catalogues, pharmacy, RBAC, UX)</w:t>
      </w:r>
    </w:p>
    <w:p>
      <w:pPr>
        <w:pStyle w:val="ListBullet"/>
        <w:spacing w:after="60"/>
        <w:ind w:left="360"/>
      </w:pPr>
      <w:r>
        <w:t>6. Readiness assessment by the Implementation Committee</w:t>
      </w:r>
    </w:p>
    <w:p>
      <w:pPr>
        <w:pStyle w:val="ListBullet"/>
        <w:spacing w:after="60"/>
        <w:ind w:left="360"/>
      </w:pPr>
      <w:r>
        <w:t>7. Full production go-live</w:t>
      </w:r>
    </w:p>
    <w:p>
      <w:pPr>
        <w:pStyle w:val="ListBullet"/>
        <w:spacing w:after="60"/>
        <w:ind w:left="360"/>
      </w:pPr>
      <w:r>
        <w:t>8. Intensive post-go-live support</w:t>
      </w:r>
    </w:p>
    <w:p>
      <w:pPr>
        <w:pStyle w:val="Heading2"/>
      </w:pPr>
      <w:r>
        <w:t>6.2 Operational challenges</w:t>
      </w:r>
    </w:p>
    <w:p>
      <w:pPr>
        <w:pStyle w:val="ListBullet"/>
        <w:spacing w:after="60"/>
        <w:ind w:left="360"/>
      </w:pPr>
      <w:r>
        <w:t>Unstable electrical power supply</w:t>
      </w:r>
    </w:p>
    <w:p>
      <w:pPr>
        <w:pStyle w:val="ListBullet"/>
        <w:spacing w:after="60"/>
        <w:ind w:left="360"/>
      </w:pPr>
      <w:r>
        <w:t>Intermittent network connectivity</w:t>
      </w:r>
    </w:p>
    <w:p>
      <w:pPr>
        <w:pStyle w:val="ListBullet"/>
        <w:spacing w:after="60"/>
        <w:ind w:left="360"/>
      </w:pPr>
      <w:r>
        <w:t>Insufficient computer workstations in some clinical areas</w:t>
      </w:r>
    </w:p>
    <w:p>
      <w:pPr>
        <w:pStyle w:val="ListBullet"/>
        <w:spacing w:after="60"/>
        <w:ind w:left="360"/>
      </w:pPr>
      <w:r>
        <w:t>Ongoing user training and change-management needs</w:t>
      </w:r>
    </w:p>
    <w:p>
      <w:r>
        <w:t>These challenges were mitigated progressively during implementation and remain priority recommendations for sustaining the system. They primarily affect the operating environment rather than core software functionality.</w:t>
      </w:r>
    </w:p>
    <w:p>
      <w:pPr>
        <w:pStyle w:val="Heading1"/>
      </w:pPr>
      <w:r>
        <w:t>7. Outcomes and Benefits</w:t>
      </w:r>
    </w:p>
    <w:p>
      <w:pPr>
        <w:pStyle w:val="Heading2"/>
      </w:pPr>
      <w:r>
        <w:t>7.1 Achievement against objectives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  <w:t>Objective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In-house EMR delivered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Achieved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End-to-end electronic OPD/clinic workflows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Achieved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Ward/observation electronic care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Achieved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Lab, radiology, pharmacy, physio, eye electronic flows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Achieved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Appointments, referrals, medical certificates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Achieved (current build)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Pharmacy/nursing inventory workflows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Achieved (current build)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RBAC and audit trail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Achieved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UAT, parallel run, and go-live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Completed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Post-go-live support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Ongoing</w:t>
            </w:r>
          </w:p>
        </w:tc>
      </w:tr>
    </w:tbl>
    <w:p/>
    <w:p>
      <w:pPr>
        <w:pStyle w:val="Heading2"/>
      </w:pPr>
      <w:r>
        <w:t>7.2 Benefits realized</w:t>
      </w:r>
    </w:p>
    <w:p>
      <w:r>
        <w:t>Operational</w:t>
      </w:r>
    </w:p>
    <w:p>
      <w:pPr>
        <w:pStyle w:val="ListBullet"/>
        <w:spacing w:after="60"/>
        <w:ind w:left="360"/>
      </w:pPr>
      <w:r>
        <w:t>Faster registration and improved patient flow</w:t>
      </w:r>
    </w:p>
    <w:p>
      <w:pPr>
        <w:pStyle w:val="ListBullet"/>
        <w:spacing w:after="60"/>
        <w:ind w:left="360"/>
      </w:pPr>
      <w:r>
        <w:t>Reduced dependence on physical folders</w:t>
      </w:r>
    </w:p>
    <w:p>
      <w:pPr>
        <w:pStyle w:val="ListBullet"/>
        <w:spacing w:after="60"/>
        <w:ind w:left="360"/>
      </w:pPr>
      <w:r>
        <w:t>Better departmental coordination and queue visibility</w:t>
      </w:r>
    </w:p>
    <w:p>
      <w:pPr>
        <w:pStyle w:val="ListBullet"/>
        <w:spacing w:after="60"/>
        <w:ind w:left="360"/>
      </w:pPr>
      <w:r>
        <w:t>Automated reporting from live data</w:t>
      </w:r>
    </w:p>
    <w:p>
      <w:r>
        <w:t>Clinical</w:t>
      </w:r>
    </w:p>
    <w:p>
      <w:pPr>
        <w:pStyle w:val="ListBullet"/>
        <w:spacing w:after="60"/>
        <w:ind w:left="360"/>
      </w:pPr>
      <w:r>
        <w:t>Immediate access to history, results, and medication records</w:t>
      </w:r>
    </w:p>
    <w:p>
      <w:pPr>
        <w:pStyle w:val="ListBullet"/>
        <w:spacing w:after="60"/>
        <w:ind w:left="360"/>
      </w:pPr>
      <w:r>
        <w:t>Standardized documentation and continuity of care</w:t>
      </w:r>
    </w:p>
    <w:p>
      <w:pPr>
        <w:pStyle w:val="ListBullet"/>
        <w:spacing w:after="60"/>
        <w:ind w:left="360"/>
      </w:pPr>
      <w:r>
        <w:t>Faster transmission of investigation requests and prescriptions</w:t>
      </w:r>
    </w:p>
    <w:p>
      <w:r>
        <w:t>Administrative / ICT</w:t>
      </w:r>
    </w:p>
    <w:p>
      <w:pPr>
        <w:pStyle w:val="ListBullet"/>
        <w:spacing w:after="60"/>
        <w:ind w:left="360"/>
      </w:pPr>
      <w:r>
        <w:t>Stronger accountability through individual accounts and audit trails</w:t>
      </w:r>
    </w:p>
    <w:p>
      <w:pPr>
        <w:pStyle w:val="ListBullet"/>
        <w:spacing w:after="60"/>
        <w:ind w:left="360"/>
      </w:pPr>
      <w:r>
        <w:t>Internal ownership of source code and roadmap</w:t>
      </w:r>
    </w:p>
    <w:p>
      <w:pPr>
        <w:pStyle w:val="ListBullet"/>
        <w:spacing w:after="60"/>
        <w:ind w:left="360"/>
      </w:pPr>
      <w:r>
        <w:t>Rapid enhancement capability without vendor dependency</w:t>
      </w:r>
    </w:p>
    <w:p>
      <w:r>
        <w:rPr>
          <w:i/>
          <w:sz w:val="20"/>
        </w:rPr>
        <w:t>Note: Insert Annex A with actual visit, consultation, laboratory, radiology, prescription, physiotherapy, and nursing activity counts for the reporting period.</w:t>
      </w:r>
    </w:p>
    <w:p>
      <w:pPr>
        <w:pStyle w:val="Heading1"/>
      </w:pPr>
      <w:r>
        <w:t>8. Challenges, Lessons Learned and Recommendations</w:t>
      </w:r>
    </w:p>
    <w:p>
      <w:pPr>
        <w:pStyle w:val="Heading2"/>
      </w:pPr>
      <w:r>
        <w:t>8.1 Challenges</w:t>
      </w:r>
    </w:p>
    <w:p>
      <w:pPr>
        <w:pStyle w:val="ListBullet"/>
        <w:spacing w:after="60"/>
        <w:ind w:left="360"/>
      </w:pPr>
      <w:r>
        <w:t>Power and network reliability</w:t>
      </w:r>
    </w:p>
    <w:p>
      <w:pPr>
        <w:pStyle w:val="ListBullet"/>
        <w:spacing w:after="60"/>
        <w:ind w:left="360"/>
      </w:pPr>
      <w:r>
        <w:t>Workstation coverage</w:t>
      </w:r>
    </w:p>
    <w:p>
      <w:pPr>
        <w:pStyle w:val="ListBullet"/>
        <w:spacing w:after="60"/>
        <w:ind w:left="360"/>
      </w:pPr>
      <w:r>
        <w:t>Change management and varying digital literacy</w:t>
      </w:r>
    </w:p>
    <w:p>
      <w:pPr>
        <w:pStyle w:val="ListBullet"/>
        <w:spacing w:after="60"/>
        <w:ind w:left="360"/>
      </w:pPr>
      <w:r>
        <w:t>Continued need for paper historical records</w:t>
      </w:r>
    </w:p>
    <w:p>
      <w:pPr>
        <w:pStyle w:val="ListBullet"/>
        <w:spacing w:after="60"/>
        <w:ind w:left="360"/>
      </w:pPr>
      <w:r>
        <w:t>Rising enhancement demand as users gained confidence</w:t>
      </w:r>
    </w:p>
    <w:p>
      <w:pPr>
        <w:pStyle w:val="Heading2"/>
      </w:pPr>
      <w:r>
        <w:t>8.2 Lessons learned</w:t>
      </w:r>
    </w:p>
    <w:p>
      <w:pPr>
        <w:pStyle w:val="ListBullet"/>
        <w:spacing w:after="60"/>
        <w:ind w:left="360"/>
      </w:pPr>
      <w:r>
        <w:t>End-user co-design produces fit-for-purpose clinical workflows</w:t>
      </w:r>
    </w:p>
    <w:p>
      <w:pPr>
        <w:pStyle w:val="ListBullet"/>
        <w:spacing w:after="60"/>
        <w:ind w:left="360"/>
      </w:pPr>
      <w:r>
        <w:t>Change management is as important as software quality</w:t>
      </w:r>
    </w:p>
    <w:p>
      <w:pPr>
        <w:pStyle w:val="ListBullet"/>
        <w:spacing w:after="60"/>
        <w:ind w:left="360"/>
      </w:pPr>
      <w:r>
        <w:t>Infrastructure reliability must match software capability</w:t>
      </w:r>
    </w:p>
    <w:p>
      <w:pPr>
        <w:pStyle w:val="ListBullet"/>
        <w:spacing w:after="60"/>
        <w:ind w:left="360"/>
      </w:pPr>
      <w:r>
        <w:t>Parallel run materially reduces go-live risk</w:t>
      </w:r>
    </w:p>
    <w:p>
      <w:pPr>
        <w:pStyle w:val="ListBullet"/>
        <w:spacing w:after="60"/>
        <w:ind w:left="360"/>
      </w:pPr>
      <w:r>
        <w:t>In-house delivery enables fast iteration and full ownership</w:t>
      </w:r>
    </w:p>
    <w:p>
      <w:pPr>
        <w:pStyle w:val="Heading2"/>
      </w:pPr>
      <w:r>
        <w:t>8.3 Recommendations</w:t>
      </w:r>
    </w:p>
    <w:p>
      <w:pPr>
        <w:pStyle w:val="ListBullet"/>
        <w:spacing w:after="60"/>
        <w:ind w:left="360"/>
      </w:pPr>
      <w:r>
        <w:t>1. Harden power supply, diesel availability, network redundancy, and workstation coverage</w:t>
      </w:r>
    </w:p>
    <w:p>
      <w:pPr>
        <w:pStyle w:val="ListBullet"/>
        <w:spacing w:after="60"/>
        <w:ind w:left="360"/>
      </w:pPr>
      <w:r>
        <w:t>2. Commence structured historical record digitization and indexing to patient profiles</w:t>
      </w:r>
    </w:p>
    <w:p>
      <w:pPr>
        <w:pStyle w:val="ListBullet"/>
        <w:spacing w:after="60"/>
        <w:ind w:left="360"/>
      </w:pPr>
      <w:r>
        <w:t>3. Retain the EMR Implementation Committee for governance and prioritization</w:t>
      </w:r>
    </w:p>
    <w:p>
      <w:pPr>
        <w:pStyle w:val="ListBullet"/>
        <w:spacing w:after="60"/>
        <w:ind w:left="360"/>
      </w:pPr>
      <w:r>
        <w:t>4. Institutionalize refresher training (including NYSC doctors, locum, and rotational staff)</w:t>
      </w:r>
    </w:p>
    <w:p>
      <w:pPr>
        <w:pStyle w:val="ListBullet"/>
        <w:spacing w:after="60"/>
        <w:ind w:left="360"/>
      </w:pPr>
      <w:r>
        <w:t>5. Formalize backup, disaster recovery, and business continuity testing</w:t>
      </w:r>
    </w:p>
    <w:p>
      <w:pPr>
        <w:pStyle w:val="ListBullet"/>
        <w:spacing w:after="60"/>
        <w:ind w:left="360"/>
      </w:pPr>
      <w:r>
        <w:t>6. Phase expansion to other NPA medical facilities after Bode Thomas stabilization</w:t>
      </w:r>
    </w:p>
    <w:p>
      <w:pPr>
        <w:pStyle w:val="Heading1"/>
      </w:pPr>
      <w:r>
        <w:t>9. Future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  <w:t>Focus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I — Stabilization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Post-go-live support, performance monitoring, refresher training, workflow optimization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II — Functional deepening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Advanced analytics, notifications/alerts, remaining operational enhancements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III — Historical digitization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Scan, upload, and index legacy folders to electronic patient records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IV — Infrastructure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Power redundancy, network resilience, server capacity, backup/DR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V — Enterprise expansion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Phased rollout to other NPA medical facilities using Bode Thomas lessons</w:t>
            </w:r>
          </w:p>
        </w:tc>
      </w:tr>
    </w:tbl>
    <w:p/>
    <w:p>
      <w:pPr>
        <w:pStyle w:val="Heading1"/>
      </w:pPr>
      <w:r>
        <w:t>10. Closing Statement</w:t>
      </w:r>
    </w:p>
    <w:p>
      <w:r>
        <w:t>The EMR is operational, department-adopted, and owned internally. It replaces the unsuccessful external attempt with a fit-for-purpose platform tailored to NPA Medical Services workflows.</w:t>
      </w:r>
    </w:p>
    <w:p>
      <w:r>
        <w:t>Sustained value now depends on infrastructure investment, governance, continuous training, and controlled expansion—not on rebuilding core clinical software.</w:t>
      </w:r>
    </w:p>
    <w:p>
      <w:r>
        <w:t>With continued Management support, the EMR provides a secure, scalable foundation for digital healthcare delivery across the Nigerian Ports Authority Medical Services Department.</w:t>
      </w:r>
    </w:p>
    <w:p>
      <w:r>
        <w:br w:type="page"/>
      </w:r>
    </w:p>
    <w:p>
      <w:pPr>
        <w:pStyle w:val="Heading1"/>
      </w:pPr>
      <w:r>
        <w:t>Annexes (to be attached)</w:t>
      </w:r>
    </w:p>
    <w:p>
      <w:pPr>
        <w:pStyle w:val="ListBullet"/>
        <w:spacing w:after="60"/>
        <w:ind w:left="360"/>
      </w:pPr>
      <w:r>
        <w:t>Annex A — Operational statistics for the reporting period (visits, consultations, lab, radiology, pharmacy, physio, nursing, ward)</w:t>
      </w:r>
    </w:p>
    <w:p>
      <w:pPr>
        <w:pStyle w:val="ListBullet"/>
        <w:spacing w:after="60"/>
        <w:ind w:left="360"/>
      </w:pPr>
      <w:r>
        <w:t>Annex B — UAT sign-off records by department</w:t>
      </w:r>
    </w:p>
    <w:p>
      <w:pPr>
        <w:pStyle w:val="ListBullet"/>
        <w:spacing w:after="60"/>
        <w:ind w:left="360"/>
      </w:pPr>
      <w:r>
        <w:t>Annex C — Go-live readiness / Implementation Committee recommendation</w:t>
      </w:r>
    </w:p>
    <w:p>
      <w:pPr>
        <w:pStyle w:val="ListBullet"/>
        <w:spacing w:after="60"/>
        <w:ind w:left="360"/>
      </w:pPr>
      <w:r>
        <w:t>Annex D — Selected system screenshots (optional)</w:t>
      </w:r>
    </w:p>
    <w:p>
      <w:pPr>
        <w:pStyle w:val="ListBullet"/>
        <w:spacing w:after="60"/>
        <w:ind w:left="360"/>
      </w:pPr>
      <w:r>
        <w:t>Annex E — Outstanding infrastructure and enhancement register</w:t>
      </w:r>
    </w:p>
    <w:p>
      <w:r>
        <w:rPr>
          <w:i/>
          <w:sz w:val="18"/>
        </w:rPr>
        <w:t>Document note: This compressed report was aligned to the current live EMR feature set (including appointments, referrals, medical certificates, ward care, and inventory workflows). Replace bracketed placeholders (full name, dates, Annex A figures) before formal submission.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C4A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