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Predicting Low Customer Ratings in Olist E Commerce</w:t>
      </w:r>
    </w:p>
    <w:p>
      <w:pPr>
        <w:pStyle w:val="Subtitle"/>
      </w:pPr>
      <w:r>
        <w:t>Project proposal | Presentation on 21 October 2026 | Three member team</w:t>
      </w:r>
    </w:p>
    <w:p>
      <w:r>
        <w:t>We propose an order level classification study to test whether integrating related transaction tables and engineering operational features improves prediction of low customer ratings. Our contribution is a controlled comparison of preprocessing choices, rather than a search for the most complex model. This document provides the content and timing for an approximately 10 minute proposal presentation.</w:t>
      </w:r>
    </w:p>
    <w:p>
      <w:pPr>
        <w:pStyle w:val="Heading1"/>
      </w:pPr>
      <w:r>
        <w:t>Research problem and motivation</w:t>
      </w:r>
    </w:p>
    <w:p>
      <w:r>
        <w:t>Research question: How much do multi table data integration and feature engineering improve low rating prediction beyond basic order information, when the model, sample and evaluation protocol are held constant?</w:t>
      </w:r>
    </w:p>
    <w:p>
      <w:r>
        <w:t>We define a low rating as review_score ≤ 3 and assign y = 1; scores 4–5 receive y = 0. This is an operational definition of low satisfaction, not a direct measurement of all aspects of customer experience. A sensitivity analysis will treat only scores 1–2 as low and exclude neutral score 3.</w:t>
      </w:r>
    </w:p>
    <w:p>
      <w:r>
        <w:t>The problem is interesting because an e commerce order combines delivery, product, payment and seller information. Important patterns may be hidden across separate tables. A model could support prioritizing post delivery customer support, while the analysis can identify associations between low ratings and delivery or order characteristics. The observational data cannot establish causal effects.</w:t>
      </w:r>
    </w:p>
    <w:p>
      <w:pPr>
        <w:pStyle w:val="Heading1"/>
      </w:pPr>
      <w:r>
        <w:t>Prediction point and scope</w:t>
      </w:r>
    </w:p>
    <w:p>
      <w:r>
        <w:t>The primary prediction point is immediately after recorded customer delivery, before the first recorded review. We will retain delivered orders with a usable rating and a first review creation timestamp strictly later than delivery. The feasibility and retained sample size must be audited before confirming this scope. We will exclude review text, review answer timestamps, identifiers and any information unavailable at prediction time from predictors. Review creation time is used only to determine eligibility.</w:t>
      </w:r>
    </w:p>
    <w:p>
      <w:r>
        <w:t>If too few eligible orders remain, we will switch to a purchase time task and remove all actual delivery information. We will report this scope change explicitly and redesign all experiments consistently. This is a historical prediction study; it does not claim a deployed early warning system.</w:t>
      </w:r>
    </w:p>
    <w:p>
      <w:pPr>
        <w:pStyle w:val="Heading1"/>
        <w:pageBreakBefore/>
      </w:pPr>
      <w:r>
        <w:t>Dataset and integration design</w:t>
      </w:r>
    </w:p>
    <w:p>
      <w:r>
        <w:t>We will use the Brazilian E-Commerce Public Dataset by Olist, available from Kaggle (Olist, n.d.). The publisher describes approximately 100,000 anonymized orders from 2016–2018 and provides related CSV tables. Exact file counts, rows, missingness and eligible orders will be verified locally; no project results have been obtained yet.</w:t>
      </w:r>
    </w:p>
    <w:tbl>
      <w:tblPr>
        <w:tblW w:type="auto" w:w="0"/>
        <w:tblLayout w:type="fixed"/>
        <w:tblLook w:firstColumn="1" w:firstRow="1" w:lastColumn="0" w:lastRow="0" w:noHBand="0" w:noVBand="1" w:val="04A0"/>
      </w:tblPr>
      <w:tblGrid>
        <w:gridCol w:w="5040"/>
        <w:gridCol w:w="5040"/>
      </w:tblGrid>
      <w:tr>
        <w:trPr>
          <w:tblHeader/>
        </w:trPr>
        <w:tc>
          <w:tcPr>
            <w:tcW w:type="dxa" w:w="2880"/>
            <w:vAlign w:val="center"/>
            <w:tcBorders>
              <w:top w:val="single" w:sz="4" w:color="D9D9D9"/>
              <w:left w:val="single" w:sz="4" w:color="D9D9D9"/>
              <w:bottom w:val="single" w:sz="4" w:color="D9D9D9"/>
              <w:right w:val="single" w:sz="4" w:color="D9D9D9"/>
            </w:tcBorders>
            <w:shd w:fill="DCE6F1"/>
          </w:tcPr>
          <w:p>
            <w:pPr>
              <w:spacing w:before="60" w:after="60"/>
            </w:pPr>
            <w:r>
              <w:rPr>
                <w:b/>
                <w:sz w:val="19"/>
              </w:rPr>
              <w:t>Table</w:t>
            </w:r>
          </w:p>
        </w:tc>
        <w:tc>
          <w:tcPr>
            <w:tcW w:type="dxa" w:w="7200"/>
            <w:vAlign w:val="center"/>
            <w:tcBorders>
              <w:top w:val="single" w:sz="4" w:color="D9D9D9"/>
              <w:left w:val="single" w:sz="4" w:color="D9D9D9"/>
              <w:bottom w:val="single" w:sz="4" w:color="D9D9D9"/>
              <w:right w:val="single" w:sz="4" w:color="D9D9D9"/>
            </w:tcBorders>
            <w:shd w:fill="DCE6F1"/>
          </w:tcPr>
          <w:p>
            <w:pPr>
              <w:spacing w:before="60" w:after="60"/>
            </w:pPr>
            <w:r>
              <w:rPr>
                <w:b/>
                <w:sz w:val="19"/>
              </w:rPr>
              <w:t>Purpose and join</w:t>
            </w:r>
          </w:p>
        </w:tc>
      </w:tr>
      <w:tr>
        <w:tc>
          <w:tcPr>
            <w:tcW w:type="dxa" w:w="2880"/>
            <w:vAlign w:val="center"/>
            <w:tcBorders>
              <w:top w:val="single" w:sz="4" w:color="D9D9D9"/>
              <w:left w:val="single" w:sz="4" w:color="D9D9D9"/>
              <w:bottom w:val="single" w:sz="4" w:color="D9D9D9"/>
              <w:right w:val="single" w:sz="4" w:color="D9D9D9"/>
            </w:tcBorders>
            <w:shd w:fill="FFFFFF"/>
          </w:tcPr>
          <w:p>
            <w:pPr>
              <w:spacing w:before="60" w:after="60"/>
            </w:pPr>
            <w:r>
              <w:rPr>
                <w:b w:val="0"/>
                <w:sz w:val="19"/>
              </w:rPr>
              <w:t>orders</w:t>
            </w:r>
          </w:p>
        </w:tc>
        <w:tc>
          <w:tcPr>
            <w:tcW w:type="dxa" w:w="7200"/>
            <w:vAlign w:val="center"/>
            <w:tcBorders>
              <w:top w:val="single" w:sz="4" w:color="D9D9D9"/>
              <w:left w:val="single" w:sz="4" w:color="D9D9D9"/>
              <w:bottom w:val="single" w:sz="4" w:color="D9D9D9"/>
              <w:right w:val="single" w:sz="4" w:color="D9D9D9"/>
            </w:tcBorders>
            <w:shd w:fill="FFFFFF"/>
          </w:tcPr>
          <w:p>
            <w:pPr>
              <w:spacing w:before="60" w:after="60"/>
            </w:pPr>
            <w:r>
              <w:rPr>
                <w:b w:val="0"/>
                <w:sz w:val="19"/>
              </w:rPr>
              <w:t>Order timestamps and customer_id; base table with one row per order_id.</w:t>
            </w:r>
          </w:p>
        </w:tc>
      </w:tr>
      <w:tr>
        <w:tc>
          <w:tcPr>
            <w:tcW w:type="dxa" w:w="2880"/>
            <w:vAlign w:val="center"/>
            <w:tcBorders>
              <w:top w:val="single" w:sz="4" w:color="D9D9D9"/>
              <w:left w:val="single" w:sz="4" w:color="D9D9D9"/>
              <w:bottom w:val="single" w:sz="4" w:color="D9D9D9"/>
              <w:right w:val="single" w:sz="4" w:color="D9D9D9"/>
            </w:tcBorders>
            <w:shd w:fill="FFFFFF"/>
          </w:tcPr>
          <w:p>
            <w:pPr>
              <w:spacing w:before="60" w:after="60"/>
            </w:pPr>
            <w:r>
              <w:rPr>
                <w:b w:val="0"/>
                <w:sz w:val="19"/>
              </w:rPr>
              <w:t>order_reviews</w:t>
            </w:r>
          </w:p>
        </w:tc>
        <w:tc>
          <w:tcPr>
            <w:tcW w:type="dxa" w:w="7200"/>
            <w:vAlign w:val="center"/>
            <w:tcBorders>
              <w:top w:val="single" w:sz="4" w:color="D9D9D9"/>
              <w:left w:val="single" w:sz="4" w:color="D9D9D9"/>
              <w:bottom w:val="single" w:sz="4" w:color="D9D9D9"/>
              <w:right w:val="single" w:sz="4" w:color="D9D9D9"/>
            </w:tcBorders>
            <w:shd w:fill="FFFFFF"/>
          </w:tcPr>
          <w:p>
            <w:pPr>
              <w:spacing w:before="60" w:after="60"/>
            </w:pPr>
            <w:r>
              <w:rPr>
                <w:b w:val="0"/>
                <w:sz w:val="19"/>
              </w:rPr>
              <w:t>Target rating; resolve multiple reviews to the earliest creation timestamp and document ties.</w:t>
            </w:r>
          </w:p>
        </w:tc>
      </w:tr>
      <w:tr>
        <w:tc>
          <w:tcPr>
            <w:tcW w:type="dxa" w:w="2880"/>
            <w:vAlign w:val="center"/>
            <w:tcBorders>
              <w:top w:val="single" w:sz="4" w:color="D9D9D9"/>
              <w:left w:val="single" w:sz="4" w:color="D9D9D9"/>
              <w:bottom w:val="single" w:sz="4" w:color="D9D9D9"/>
              <w:right w:val="single" w:sz="4" w:color="D9D9D9"/>
            </w:tcBorders>
            <w:shd w:fill="FFFFFF"/>
          </w:tcPr>
          <w:p>
            <w:pPr>
              <w:spacing w:before="60" w:after="60"/>
            </w:pPr>
            <w:r>
              <w:rPr>
                <w:b w:val="0"/>
                <w:sz w:val="19"/>
              </w:rPr>
              <w:t>order_items + products</w:t>
            </w:r>
          </w:p>
        </w:tc>
        <w:tc>
          <w:tcPr>
            <w:tcW w:type="dxa" w:w="7200"/>
            <w:vAlign w:val="center"/>
            <w:tcBorders>
              <w:top w:val="single" w:sz="4" w:color="D9D9D9"/>
              <w:left w:val="single" w:sz="4" w:color="D9D9D9"/>
              <w:bottom w:val="single" w:sz="4" w:color="D9D9D9"/>
              <w:right w:val="single" w:sz="4" w:color="D9D9D9"/>
            </w:tcBorders>
            <w:shd w:fill="FFFFFF"/>
          </w:tcPr>
          <w:p>
            <w:pPr>
              <w:spacing w:before="60" w:after="60"/>
            </w:pPr>
            <w:r>
              <w:rPr>
                <w:b w:val="0"/>
                <w:sz w:val="19"/>
              </w:rPr>
              <w:t>Join items to products by product_id; aggregate product and monetary information by order_id.</w:t>
            </w:r>
          </w:p>
        </w:tc>
      </w:tr>
      <w:tr>
        <w:tc>
          <w:tcPr>
            <w:tcW w:type="dxa" w:w="2880"/>
            <w:vAlign w:val="center"/>
            <w:tcBorders>
              <w:top w:val="single" w:sz="4" w:color="D9D9D9"/>
              <w:left w:val="single" w:sz="4" w:color="D9D9D9"/>
              <w:bottom w:val="single" w:sz="4" w:color="D9D9D9"/>
              <w:right w:val="single" w:sz="4" w:color="D9D9D9"/>
            </w:tcBorders>
            <w:shd w:fill="FFFFFF"/>
          </w:tcPr>
          <w:p>
            <w:pPr>
              <w:spacing w:before="60" w:after="60"/>
            </w:pPr>
            <w:r>
              <w:rPr>
                <w:b w:val="0"/>
                <w:sz w:val="19"/>
              </w:rPr>
              <w:t>order_payments</w:t>
            </w:r>
          </w:p>
        </w:tc>
        <w:tc>
          <w:tcPr>
            <w:tcW w:type="dxa" w:w="7200"/>
            <w:vAlign w:val="center"/>
            <w:tcBorders>
              <w:top w:val="single" w:sz="4" w:color="D9D9D9"/>
              <w:left w:val="single" w:sz="4" w:color="D9D9D9"/>
              <w:bottom w:val="single" w:sz="4" w:color="D9D9D9"/>
              <w:right w:val="single" w:sz="4" w:color="D9D9D9"/>
            </w:tcBorders>
            <w:shd w:fill="FFFFFF"/>
          </w:tcPr>
          <w:p>
            <w:pPr>
              <w:spacing w:before="60" w:after="60"/>
            </w:pPr>
            <w:r>
              <w:rPr>
                <w:b w:val="0"/>
                <w:sz w:val="19"/>
              </w:rPr>
              <w:t>Aggregate multiple payment records by order_id before joining.</w:t>
            </w:r>
          </w:p>
        </w:tc>
      </w:tr>
      <w:tr>
        <w:tc>
          <w:tcPr>
            <w:tcW w:type="dxa" w:w="2880"/>
            <w:vAlign w:val="center"/>
            <w:tcBorders>
              <w:top w:val="single" w:sz="4" w:color="D9D9D9"/>
              <w:left w:val="single" w:sz="4" w:color="D9D9D9"/>
              <w:bottom w:val="single" w:sz="4" w:color="D9D9D9"/>
              <w:right w:val="single" w:sz="4" w:color="D9D9D9"/>
            </w:tcBorders>
            <w:shd w:fill="FFFFFF"/>
          </w:tcPr>
          <w:p>
            <w:pPr>
              <w:spacing w:before="60" w:after="60"/>
            </w:pPr>
            <w:r>
              <w:rPr>
                <w:b w:val="0"/>
                <w:sz w:val="19"/>
              </w:rPr>
              <w:t>customers + sellers</w:t>
            </w:r>
          </w:p>
        </w:tc>
        <w:tc>
          <w:tcPr>
            <w:tcW w:type="dxa" w:w="7200"/>
            <w:vAlign w:val="center"/>
            <w:tcBorders>
              <w:top w:val="single" w:sz="4" w:color="D9D9D9"/>
              <w:left w:val="single" w:sz="4" w:color="D9D9D9"/>
              <w:bottom w:val="single" w:sz="4" w:color="D9D9D9"/>
              <w:right w:val="single" w:sz="4" w:color="D9D9D9"/>
            </w:tcBorders>
            <w:shd w:fill="FFFFFF"/>
          </w:tcPr>
          <w:p>
            <w:pPr>
              <w:spacing w:before="60" w:after="60"/>
            </w:pPr>
            <w:r>
              <w:rPr>
                <w:b w:val="0"/>
                <w:sz w:val="19"/>
              </w:rPr>
              <w:t>Customer and seller states; sellers join to items before order aggregation.</w:t>
            </w:r>
          </w:p>
        </w:tc>
      </w:tr>
      <w:tr>
        <w:tc>
          <w:tcPr>
            <w:tcW w:type="dxa" w:w="2880"/>
            <w:vAlign w:val="center"/>
            <w:tcBorders>
              <w:top w:val="single" w:sz="4" w:color="D9D9D9"/>
              <w:left w:val="single" w:sz="4" w:color="D9D9D9"/>
              <w:bottom w:val="single" w:sz="4" w:color="D9D9D9"/>
              <w:right w:val="single" w:sz="4" w:color="D9D9D9"/>
            </w:tcBorders>
            <w:shd w:fill="FFFFFF"/>
          </w:tcPr>
          <w:p>
            <w:pPr>
              <w:spacing w:before="60" w:after="60"/>
            </w:pPr>
            <w:r>
              <w:rPr>
                <w:b w:val="0"/>
                <w:sz w:val="19"/>
              </w:rPr>
              <w:t>category translation</w:t>
            </w:r>
          </w:p>
        </w:tc>
        <w:tc>
          <w:tcPr>
            <w:tcW w:type="dxa" w:w="7200"/>
            <w:vAlign w:val="center"/>
            <w:tcBorders>
              <w:top w:val="single" w:sz="4" w:color="D9D9D9"/>
              <w:left w:val="single" w:sz="4" w:color="D9D9D9"/>
              <w:bottom w:val="single" w:sz="4" w:color="D9D9D9"/>
              <w:right w:val="single" w:sz="4" w:color="D9D9D9"/>
            </w:tcBorders>
            <w:shd w:fill="FFFFFF"/>
          </w:tcPr>
          <w:p>
            <w:pPr>
              <w:spacing w:before="60" w:after="60"/>
            </w:pPr>
            <w:r>
              <w:rPr>
                <w:b w:val="0"/>
                <w:sz w:val="19"/>
              </w:rPr>
              <w:t>Translate product category labels. Geolocation is optional, outside the core scope.</w:t>
            </w:r>
          </w:p>
        </w:tc>
      </w:tr>
    </w:tbl>
    <w:p/>
    <w:p>
      <w:r>
        <w:t>Each experiment will use the same eligible order IDs. Orders without a matched auxiliary record remain in the sample, with missing values and missingness indicators. We will validate one to one joins after aggregation. Directly merging two one to many tables would multiply rows and distort prices and payment totals.</w:t>
      </w:r>
    </w:p>
    <w:p>
      <w:pPr>
        <w:pStyle w:val="Heading1"/>
      </w:pPr>
      <w:r>
        <w:t>Planned preprocessing and features</w:t>
      </w:r>
    </w:p>
    <w:tbl>
      <w:tblPr>
        <w:tblW w:type="auto" w:w="0"/>
        <w:tblLayout w:type="fixed"/>
        <w:tblLook w:firstColumn="1" w:firstRow="1" w:lastColumn="0" w:lastRow="0" w:noHBand="0" w:noVBand="1" w:val="04A0"/>
      </w:tblPr>
      <w:tblGrid>
        <w:gridCol w:w="5040"/>
        <w:gridCol w:w="5040"/>
      </w:tblGrid>
      <w:tr>
        <w:trPr>
          <w:tblHeader/>
        </w:trPr>
        <w:tc>
          <w:tcPr>
            <w:tcW w:type="dxa" w:w="2232"/>
            <w:vAlign w:val="center"/>
            <w:tcBorders>
              <w:top w:val="single" w:sz="4" w:color="D9D9D9"/>
              <w:left w:val="single" w:sz="4" w:color="D9D9D9"/>
              <w:bottom w:val="single" w:sz="4" w:color="D9D9D9"/>
              <w:right w:val="single" w:sz="4" w:color="D9D9D9"/>
            </w:tcBorders>
            <w:shd w:fill="DCE6F1"/>
          </w:tcPr>
          <w:p>
            <w:pPr>
              <w:spacing w:before="60" w:after="60"/>
            </w:pPr>
            <w:r>
              <w:rPr>
                <w:b/>
                <w:sz w:val="19"/>
              </w:rPr>
              <w:t>Stage</w:t>
            </w:r>
          </w:p>
        </w:tc>
        <w:tc>
          <w:tcPr>
            <w:tcW w:type="dxa" w:w="7848"/>
            <w:vAlign w:val="center"/>
            <w:tcBorders>
              <w:top w:val="single" w:sz="4" w:color="D9D9D9"/>
              <w:left w:val="single" w:sz="4" w:color="D9D9D9"/>
              <w:bottom w:val="single" w:sz="4" w:color="D9D9D9"/>
              <w:right w:val="single" w:sz="4" w:color="D9D9D9"/>
            </w:tcBorders>
            <w:shd w:fill="DCE6F1"/>
          </w:tcPr>
          <w:p>
            <w:pPr>
              <w:spacing w:before="60" w:after="60"/>
            </w:pPr>
            <w:r>
              <w:rPr>
                <w:b/>
                <w:sz w:val="19"/>
              </w:rPr>
              <w:t>Planned operations</w:t>
            </w:r>
          </w:p>
        </w:tc>
      </w:tr>
      <w:tr>
        <w:tc>
          <w:tcPr>
            <w:tcW w:type="dxa" w:w="2232"/>
            <w:vAlign w:val="center"/>
            <w:tcBorders>
              <w:top w:val="single" w:sz="4" w:color="D9D9D9"/>
              <w:left w:val="single" w:sz="4" w:color="D9D9D9"/>
              <w:bottom w:val="single" w:sz="4" w:color="D9D9D9"/>
              <w:right w:val="single" w:sz="4" w:color="D9D9D9"/>
            </w:tcBorders>
            <w:shd w:fill="FFFFFF"/>
          </w:tcPr>
          <w:p>
            <w:pPr>
              <w:spacing w:before="60" w:after="60"/>
            </w:pPr>
            <w:r>
              <w:rPr>
                <w:b w:val="0"/>
                <w:sz w:val="19"/>
              </w:rPr>
              <w:t>Basic preprocessing</w:t>
            </w:r>
          </w:p>
        </w:tc>
        <w:tc>
          <w:tcPr>
            <w:tcW w:type="dxa" w:w="7848"/>
            <w:vAlign w:val="center"/>
            <w:tcBorders>
              <w:top w:val="single" w:sz="4" w:color="D9D9D9"/>
              <w:left w:val="single" w:sz="4" w:color="D9D9D9"/>
              <w:bottom w:val="single" w:sz="4" w:color="D9D9D9"/>
              <w:right w:val="single" w:sz="4" w:color="D9D9D9"/>
            </w:tcBorders>
            <w:shd w:fill="FFFFFF"/>
          </w:tcPr>
          <w:p>
            <w:pPr>
              <w:spacing w:before="60" w:after="60"/>
            </w:pPr>
            <w:r>
              <w:rPr>
                <w:b w:val="0"/>
                <w:sz w:val="19"/>
              </w:rPr>
              <w:t>Check keys and exact duplicates; parse dates; inspect impossible values; impute numeric values and encode categories using training data only.</w:t>
            </w:r>
          </w:p>
        </w:tc>
      </w:tr>
      <w:tr>
        <w:tc>
          <w:tcPr>
            <w:tcW w:type="dxa" w:w="2232"/>
            <w:vAlign w:val="center"/>
            <w:tcBorders>
              <w:top w:val="single" w:sz="4" w:color="D9D9D9"/>
              <w:left w:val="single" w:sz="4" w:color="D9D9D9"/>
              <w:bottom w:val="single" w:sz="4" w:color="D9D9D9"/>
              <w:right w:val="single" w:sz="4" w:color="D9D9D9"/>
            </w:tcBorders>
            <w:shd w:fill="FFFFFF"/>
          </w:tcPr>
          <w:p>
            <w:pPr>
              <w:spacing w:before="60" w:after="60"/>
            </w:pPr>
            <w:r>
              <w:rPr>
                <w:b w:val="0"/>
                <w:sz w:val="19"/>
              </w:rPr>
              <w:t>Integration</w:t>
            </w:r>
          </w:p>
        </w:tc>
        <w:tc>
          <w:tcPr>
            <w:tcW w:type="dxa" w:w="7848"/>
            <w:vAlign w:val="center"/>
            <w:tcBorders>
              <w:top w:val="single" w:sz="4" w:color="D9D9D9"/>
              <w:left w:val="single" w:sz="4" w:color="D9D9D9"/>
              <w:bottom w:val="single" w:sz="4" w:color="D9D9D9"/>
              <w:right w:val="single" w:sz="4" w:color="D9D9D9"/>
            </w:tcBorders>
            <w:shd w:fill="FFFFFF"/>
          </w:tcPr>
          <w:p>
            <w:pPr>
              <w:spacing w:before="60" w:after="60"/>
            </w:pPr>
            <w:r>
              <w:rPr>
                <w:b w:val="0"/>
                <w:sz w:val="19"/>
              </w:rPr>
              <w:t>Add order item count, seller count, product information, summed price and freight, summed payment value, payment types and installment summaries.</w:t>
            </w:r>
          </w:p>
        </w:tc>
      </w:tr>
      <w:tr>
        <w:tc>
          <w:tcPr>
            <w:tcW w:type="dxa" w:w="2232"/>
            <w:vAlign w:val="center"/>
            <w:tcBorders>
              <w:top w:val="single" w:sz="4" w:color="D9D9D9"/>
              <w:left w:val="single" w:sz="4" w:color="D9D9D9"/>
              <w:bottom w:val="single" w:sz="4" w:color="D9D9D9"/>
              <w:right w:val="single" w:sz="4" w:color="D9D9D9"/>
            </w:tcBorders>
            <w:shd w:fill="FFFFFF"/>
          </w:tcPr>
          <w:p>
            <w:pPr>
              <w:spacing w:before="60" w:after="60"/>
            </w:pPr>
            <w:r>
              <w:rPr>
                <w:b w:val="0"/>
                <w:sz w:val="19"/>
              </w:rPr>
              <w:t>Feature engineering</w:t>
            </w:r>
          </w:p>
        </w:tc>
        <w:tc>
          <w:tcPr>
            <w:tcW w:type="dxa" w:w="7848"/>
            <w:vAlign w:val="center"/>
            <w:tcBorders>
              <w:top w:val="single" w:sz="4" w:color="D9D9D9"/>
              <w:left w:val="single" w:sz="4" w:color="D9D9D9"/>
              <w:bottom w:val="single" w:sz="4" w:color="D9D9D9"/>
              <w:right w:val="single" w:sz="4" w:color="D9D9D9"/>
            </w:tcBorders>
            <w:shd w:fill="FFFFFF"/>
          </w:tcPr>
          <w:p>
            <w:pPr>
              <w:spacing w:before="60" w:after="60"/>
            </w:pPr>
            <w:r>
              <w:rPr>
                <w:b w:val="0"/>
                <w:sz w:val="19"/>
              </w:rPr>
              <w:t>Delivery duration; signed delivery delay; late delivery flag; freight divided by total item price; multiple seller flag; seller and customer state match; purchase weekday.</w:t>
            </w:r>
          </w:p>
        </w:tc>
      </w:tr>
      <w:tr>
        <w:tc>
          <w:tcPr>
            <w:tcW w:type="dxa" w:w="2232"/>
            <w:vAlign w:val="center"/>
            <w:tcBorders>
              <w:top w:val="single" w:sz="4" w:color="D9D9D9"/>
              <w:left w:val="single" w:sz="4" w:color="D9D9D9"/>
              <w:bottom w:val="single" w:sz="4" w:color="D9D9D9"/>
              <w:right w:val="single" w:sz="4" w:color="D9D9D9"/>
            </w:tcBorders>
            <w:shd w:fill="FFFFFF"/>
          </w:tcPr>
          <w:p>
            <w:pPr>
              <w:spacing w:before="60" w:after="60"/>
            </w:pPr>
            <w:r>
              <w:rPr>
                <w:b w:val="0"/>
                <w:sz w:val="19"/>
              </w:rPr>
              <w:t>Robustness</w:t>
            </w:r>
          </w:p>
        </w:tc>
        <w:tc>
          <w:tcPr>
            <w:tcW w:type="dxa" w:w="7848"/>
            <w:vAlign w:val="center"/>
            <w:tcBorders>
              <w:top w:val="single" w:sz="4" w:color="D9D9D9"/>
              <w:left w:val="single" w:sz="4" w:color="D9D9D9"/>
              <w:bottom w:val="single" w:sz="4" w:color="D9D9D9"/>
              <w:right w:val="single" w:sz="4" w:color="D9D9D9"/>
            </w:tcBorders>
            <w:shd w:fill="FFFFFF"/>
          </w:tcPr>
          <w:p>
            <w:pPr>
              <w:spacing w:before="60" w:after="60"/>
            </w:pPr>
            <w:r>
              <w:rPr>
                <w:b w:val="0"/>
                <w:sz w:val="19"/>
              </w:rPr>
              <w:t>Compare baseline imputation against imputation plus missing indicators; test nonnegative monetary clipping based on training quantiles only when audit justifies it.</w:t>
            </w:r>
          </w:p>
        </w:tc>
      </w:tr>
    </w:tbl>
    <w:p/>
    <w:p>
      <w:r>
        <w:t>Feature definitions will state units, denominator rules and when each input becomes available. Missing or zero denominators remain missing and receive an indicator rather than being replaced by an arbitrary ratio. We will not infer order specific shipping distances from uncontrolled geolocation joins.</w:t>
      </w:r>
    </w:p>
    <w:p>
      <w:pPr>
        <w:pStyle w:val="Heading1"/>
        <w:pageBreakBefore/>
      </w:pPr>
      <w:r>
        <w:t>Preliminary methodology</w:t>
      </w:r>
    </w:p>
    <w:tbl>
      <w:tblPr>
        <w:tblW w:type="auto" w:w="0"/>
        <w:tblLayout w:type="fixed"/>
        <w:tblLook w:firstColumn="1" w:firstRow="1" w:lastColumn="0" w:lastRow="0" w:noHBand="0" w:noVBand="1" w:val="04A0"/>
      </w:tblPr>
      <w:tblGrid>
        <w:gridCol w:w="3360"/>
        <w:gridCol w:w="3360"/>
        <w:gridCol w:w="3360"/>
      </w:tblGrid>
      <w:tr>
        <w:trPr>
          <w:tblHeader/>
        </w:trPr>
        <w:tc>
          <w:tcPr>
            <w:tcW w:type="dxa" w:w="1152"/>
            <w:vAlign w:val="center"/>
            <w:tcBorders>
              <w:top w:val="single" w:sz="4" w:color="D9D9D9"/>
              <w:left w:val="single" w:sz="4" w:color="D9D9D9"/>
              <w:bottom w:val="single" w:sz="4" w:color="D9D9D9"/>
              <w:right w:val="single" w:sz="4" w:color="D9D9D9"/>
            </w:tcBorders>
            <w:shd w:fill="DCE6F1"/>
          </w:tcPr>
          <w:p>
            <w:pPr>
              <w:spacing w:before="60" w:after="60"/>
            </w:pPr>
            <w:r>
              <w:rPr>
                <w:b/>
                <w:sz w:val="19"/>
              </w:rPr>
              <w:t>Experiment</w:t>
            </w:r>
          </w:p>
        </w:tc>
        <w:tc>
          <w:tcPr>
            <w:tcW w:type="dxa" w:w="4392"/>
            <w:vAlign w:val="center"/>
            <w:tcBorders>
              <w:top w:val="single" w:sz="4" w:color="D9D9D9"/>
              <w:left w:val="single" w:sz="4" w:color="D9D9D9"/>
              <w:bottom w:val="single" w:sz="4" w:color="D9D9D9"/>
              <w:right w:val="single" w:sz="4" w:color="D9D9D9"/>
            </w:tcBorders>
            <w:shd w:fill="DCE6F1"/>
          </w:tcPr>
          <w:p>
            <w:pPr>
              <w:spacing w:before="60" w:after="60"/>
            </w:pPr>
            <w:r>
              <w:rPr>
                <w:b/>
                <w:sz w:val="19"/>
              </w:rPr>
              <w:t>Feature set</w:t>
            </w:r>
          </w:p>
        </w:tc>
        <w:tc>
          <w:tcPr>
            <w:tcW w:type="dxa" w:w="4536"/>
            <w:vAlign w:val="center"/>
            <w:tcBorders>
              <w:top w:val="single" w:sz="4" w:color="D9D9D9"/>
              <w:left w:val="single" w:sz="4" w:color="D9D9D9"/>
              <w:bottom w:val="single" w:sz="4" w:color="D9D9D9"/>
              <w:right w:val="single" w:sz="4" w:color="D9D9D9"/>
            </w:tcBorders>
            <w:shd w:fill="DCE6F1"/>
          </w:tcPr>
          <w:p>
            <w:pPr>
              <w:spacing w:before="60" w:after="60"/>
            </w:pPr>
            <w:r>
              <w:rPr>
                <w:b/>
                <w:sz w:val="19"/>
              </w:rPr>
              <w:t>What the comparison tests</w:t>
            </w:r>
          </w:p>
        </w:tc>
      </w:tr>
      <w:tr>
        <w:tc>
          <w:tcPr>
            <w:tcW w:type="dxa" w:w="1152"/>
            <w:vAlign w:val="center"/>
            <w:tcBorders>
              <w:top w:val="single" w:sz="4" w:color="D9D9D9"/>
              <w:left w:val="single" w:sz="4" w:color="D9D9D9"/>
              <w:bottom w:val="single" w:sz="4" w:color="D9D9D9"/>
              <w:right w:val="single" w:sz="4" w:color="D9D9D9"/>
            </w:tcBorders>
            <w:shd w:fill="FFFFFF"/>
          </w:tcPr>
          <w:p>
            <w:pPr>
              <w:spacing w:before="60" w:after="60"/>
            </w:pPr>
            <w:r>
              <w:rPr>
                <w:b w:val="0"/>
                <w:sz w:val="19"/>
              </w:rPr>
              <w:t>E0</w:t>
            </w:r>
          </w:p>
        </w:tc>
        <w:tc>
          <w:tcPr>
            <w:tcW w:type="dxa" w:w="4392"/>
            <w:vAlign w:val="center"/>
            <w:tcBorders>
              <w:top w:val="single" w:sz="4" w:color="D9D9D9"/>
              <w:left w:val="single" w:sz="4" w:color="D9D9D9"/>
              <w:bottom w:val="single" w:sz="4" w:color="D9D9D9"/>
              <w:right w:val="single" w:sz="4" w:color="D9D9D9"/>
            </w:tcBorders>
            <w:shd w:fill="FFFFFF"/>
          </w:tcPr>
          <w:p>
            <w:pPr>
              <w:spacing w:before="60" w:after="60"/>
            </w:pPr>
            <w:r>
              <w:rPr>
                <w:b w:val="0"/>
                <w:sz w:val="19"/>
              </w:rPr>
              <w:t>Most frequent class predictor</w:t>
            </w:r>
          </w:p>
        </w:tc>
        <w:tc>
          <w:tcPr>
            <w:tcW w:type="dxa" w:w="4536"/>
            <w:vAlign w:val="center"/>
            <w:tcBorders>
              <w:top w:val="single" w:sz="4" w:color="D9D9D9"/>
              <w:left w:val="single" w:sz="4" w:color="D9D9D9"/>
              <w:bottom w:val="single" w:sz="4" w:color="D9D9D9"/>
              <w:right w:val="single" w:sz="4" w:color="D9D9D9"/>
            </w:tcBorders>
            <w:shd w:fill="FFFFFF"/>
          </w:tcPr>
          <w:p>
            <w:pPr>
              <w:spacing w:before="60" w:after="60"/>
            </w:pPr>
            <w:r>
              <w:rPr>
                <w:b w:val="0"/>
                <w:sz w:val="19"/>
              </w:rPr>
              <w:t>Reference for class imbalance</w:t>
            </w:r>
          </w:p>
        </w:tc>
      </w:tr>
      <w:tr>
        <w:tc>
          <w:tcPr>
            <w:tcW w:type="dxa" w:w="1152"/>
            <w:vAlign w:val="center"/>
            <w:tcBorders>
              <w:top w:val="single" w:sz="4" w:color="D9D9D9"/>
              <w:left w:val="single" w:sz="4" w:color="D9D9D9"/>
              <w:bottom w:val="single" w:sz="4" w:color="D9D9D9"/>
              <w:right w:val="single" w:sz="4" w:color="D9D9D9"/>
            </w:tcBorders>
            <w:shd w:fill="FFFFFF"/>
          </w:tcPr>
          <w:p>
            <w:pPr>
              <w:spacing w:before="60" w:after="60"/>
            </w:pPr>
            <w:r>
              <w:rPr>
                <w:b w:val="0"/>
                <w:sz w:val="19"/>
              </w:rPr>
              <w:t>E1</w:t>
            </w:r>
          </w:p>
        </w:tc>
        <w:tc>
          <w:tcPr>
            <w:tcW w:type="dxa" w:w="4392"/>
            <w:vAlign w:val="center"/>
            <w:tcBorders>
              <w:top w:val="single" w:sz="4" w:color="D9D9D9"/>
              <w:left w:val="single" w:sz="4" w:color="D9D9D9"/>
              <w:bottom w:val="single" w:sz="4" w:color="D9D9D9"/>
              <w:right w:val="single" w:sz="4" w:color="D9D9D9"/>
            </w:tcBorders>
            <w:shd w:fill="FFFFFF"/>
          </w:tcPr>
          <w:p>
            <w:pPr>
              <w:spacing w:before="60" w:after="60"/>
            </w:pPr>
            <w:r>
              <w:rPr>
                <w:b w:val="0"/>
                <w:sz w:val="19"/>
              </w:rPr>
              <w:t>Cleaned basic order information</w:t>
            </w:r>
          </w:p>
        </w:tc>
        <w:tc>
          <w:tcPr>
            <w:tcW w:type="dxa" w:w="4536"/>
            <w:vAlign w:val="center"/>
            <w:tcBorders>
              <w:top w:val="single" w:sz="4" w:color="D9D9D9"/>
              <w:left w:val="single" w:sz="4" w:color="D9D9D9"/>
              <w:bottom w:val="single" w:sz="4" w:color="D9D9D9"/>
              <w:right w:val="single" w:sz="4" w:color="D9D9D9"/>
            </w:tcBorders>
            <w:shd w:fill="FFFFFF"/>
          </w:tcPr>
          <w:p>
            <w:pPr>
              <w:spacing w:before="60" w:after="60"/>
            </w:pPr>
            <w:r>
              <w:rPr>
                <w:b w:val="0"/>
                <w:sz w:val="19"/>
              </w:rPr>
              <w:t>Usable baseline; no identifiers or absolute epoch timestamps</w:t>
            </w:r>
          </w:p>
        </w:tc>
      </w:tr>
      <w:tr>
        <w:tc>
          <w:tcPr>
            <w:tcW w:type="dxa" w:w="1152"/>
            <w:vAlign w:val="center"/>
            <w:tcBorders>
              <w:top w:val="single" w:sz="4" w:color="D9D9D9"/>
              <w:left w:val="single" w:sz="4" w:color="D9D9D9"/>
              <w:bottom w:val="single" w:sz="4" w:color="D9D9D9"/>
              <w:right w:val="single" w:sz="4" w:color="D9D9D9"/>
            </w:tcBorders>
            <w:shd w:fill="FFFFFF"/>
          </w:tcPr>
          <w:p>
            <w:pPr>
              <w:spacing w:before="60" w:after="60"/>
            </w:pPr>
            <w:r>
              <w:rPr>
                <w:b w:val="0"/>
                <w:sz w:val="19"/>
              </w:rPr>
              <w:t>E2</w:t>
            </w:r>
          </w:p>
        </w:tc>
        <w:tc>
          <w:tcPr>
            <w:tcW w:type="dxa" w:w="4392"/>
            <w:vAlign w:val="center"/>
            <w:tcBorders>
              <w:top w:val="single" w:sz="4" w:color="D9D9D9"/>
              <w:left w:val="single" w:sz="4" w:color="D9D9D9"/>
              <w:bottom w:val="single" w:sz="4" w:color="D9D9D9"/>
              <w:right w:val="single" w:sz="4" w:color="D9D9D9"/>
            </w:tcBorders>
            <w:shd w:fill="FFFFFF"/>
          </w:tcPr>
          <w:p>
            <w:pPr>
              <w:spacing w:before="60" w:after="60"/>
            </w:pPr>
            <w:r>
              <w:rPr>
                <w:b w:val="0"/>
                <w:sz w:val="19"/>
              </w:rPr>
              <w:t>E1 + aggregated auxiliary tables</w:t>
            </w:r>
          </w:p>
        </w:tc>
        <w:tc>
          <w:tcPr>
            <w:tcW w:type="dxa" w:w="4536"/>
            <w:vAlign w:val="center"/>
            <w:tcBorders>
              <w:top w:val="single" w:sz="4" w:color="D9D9D9"/>
              <w:left w:val="single" w:sz="4" w:color="D9D9D9"/>
              <w:bottom w:val="single" w:sz="4" w:color="D9D9D9"/>
              <w:right w:val="single" w:sz="4" w:color="D9D9D9"/>
            </w:tcBorders>
            <w:shd w:fill="FFFFFF"/>
          </w:tcPr>
          <w:p>
            <w:pPr>
              <w:spacing w:before="60" w:after="60"/>
            </w:pPr>
            <w:r>
              <w:rPr>
                <w:b w:val="0"/>
                <w:sz w:val="19"/>
              </w:rPr>
              <w:t>Integration effect relative to E1</w:t>
            </w:r>
          </w:p>
        </w:tc>
      </w:tr>
      <w:tr>
        <w:tc>
          <w:tcPr>
            <w:tcW w:type="dxa" w:w="1152"/>
            <w:vAlign w:val="center"/>
            <w:tcBorders>
              <w:top w:val="single" w:sz="4" w:color="D9D9D9"/>
              <w:left w:val="single" w:sz="4" w:color="D9D9D9"/>
              <w:bottom w:val="single" w:sz="4" w:color="D9D9D9"/>
              <w:right w:val="single" w:sz="4" w:color="D9D9D9"/>
            </w:tcBorders>
            <w:shd w:fill="FFFFFF"/>
          </w:tcPr>
          <w:p>
            <w:pPr>
              <w:spacing w:before="60" w:after="60"/>
            </w:pPr>
            <w:r>
              <w:rPr>
                <w:b w:val="0"/>
                <w:sz w:val="19"/>
              </w:rPr>
              <w:t>E3</w:t>
            </w:r>
          </w:p>
        </w:tc>
        <w:tc>
          <w:tcPr>
            <w:tcW w:type="dxa" w:w="4392"/>
            <w:vAlign w:val="center"/>
            <w:tcBorders>
              <w:top w:val="single" w:sz="4" w:color="D9D9D9"/>
              <w:left w:val="single" w:sz="4" w:color="D9D9D9"/>
              <w:bottom w:val="single" w:sz="4" w:color="D9D9D9"/>
              <w:right w:val="single" w:sz="4" w:color="D9D9D9"/>
            </w:tcBorders>
            <w:shd w:fill="FFFFFF"/>
          </w:tcPr>
          <w:p>
            <w:pPr>
              <w:spacing w:before="60" w:after="60"/>
            </w:pPr>
            <w:r>
              <w:rPr>
                <w:b w:val="0"/>
                <w:sz w:val="19"/>
              </w:rPr>
              <w:t>E2 + engineered features</w:t>
            </w:r>
          </w:p>
        </w:tc>
        <w:tc>
          <w:tcPr>
            <w:tcW w:type="dxa" w:w="4536"/>
            <w:vAlign w:val="center"/>
            <w:tcBorders>
              <w:top w:val="single" w:sz="4" w:color="D9D9D9"/>
              <w:left w:val="single" w:sz="4" w:color="D9D9D9"/>
              <w:bottom w:val="single" w:sz="4" w:color="D9D9D9"/>
              <w:right w:val="single" w:sz="4" w:color="D9D9D9"/>
            </w:tcBorders>
            <w:shd w:fill="FFFFFF"/>
          </w:tcPr>
          <w:p>
            <w:pPr>
              <w:spacing w:before="60" w:after="60"/>
            </w:pPr>
            <w:r>
              <w:rPr>
                <w:b w:val="0"/>
                <w:sz w:val="19"/>
              </w:rPr>
              <w:t>Engineering effect relative to E2</w:t>
            </w:r>
          </w:p>
        </w:tc>
      </w:tr>
      <w:tr>
        <w:tc>
          <w:tcPr>
            <w:tcW w:type="dxa" w:w="1152"/>
            <w:vAlign w:val="center"/>
            <w:tcBorders>
              <w:top w:val="single" w:sz="4" w:color="D9D9D9"/>
              <w:left w:val="single" w:sz="4" w:color="D9D9D9"/>
              <w:bottom w:val="single" w:sz="4" w:color="D9D9D9"/>
              <w:right w:val="single" w:sz="4" w:color="D9D9D9"/>
            </w:tcBorders>
            <w:shd w:fill="FFFFFF"/>
          </w:tcPr>
          <w:p>
            <w:pPr>
              <w:spacing w:before="60" w:after="60"/>
            </w:pPr>
            <w:r>
              <w:rPr>
                <w:b w:val="0"/>
                <w:sz w:val="19"/>
              </w:rPr>
              <w:t>Ablations</w:t>
            </w:r>
          </w:p>
        </w:tc>
        <w:tc>
          <w:tcPr>
            <w:tcW w:type="dxa" w:w="4392"/>
            <w:vAlign w:val="center"/>
            <w:tcBorders>
              <w:top w:val="single" w:sz="4" w:color="D9D9D9"/>
              <w:left w:val="single" w:sz="4" w:color="D9D9D9"/>
              <w:bottom w:val="single" w:sz="4" w:color="D9D9D9"/>
              <w:right w:val="single" w:sz="4" w:color="D9D9D9"/>
            </w:tcBorders>
            <w:shd w:fill="FFFFFF"/>
          </w:tcPr>
          <w:p>
            <w:pPr>
              <w:spacing w:before="60" w:after="60"/>
            </w:pPr>
            <w:r>
              <w:rPr>
                <w:b w:val="0"/>
                <w:sz w:val="19"/>
              </w:rPr>
              <w:t>E3 minus delivery / payment / product groups</w:t>
            </w:r>
          </w:p>
        </w:tc>
        <w:tc>
          <w:tcPr>
            <w:tcW w:type="dxa" w:w="4536"/>
            <w:vAlign w:val="center"/>
            <w:tcBorders>
              <w:top w:val="single" w:sz="4" w:color="D9D9D9"/>
              <w:left w:val="single" w:sz="4" w:color="D9D9D9"/>
              <w:bottom w:val="single" w:sz="4" w:color="D9D9D9"/>
              <w:right w:val="single" w:sz="4" w:color="D9D9D9"/>
            </w:tcBorders>
            <w:shd w:fill="FFFFFF"/>
          </w:tcPr>
          <w:p>
            <w:pPr>
              <w:spacing w:before="60" w:after="60"/>
            </w:pPr>
            <w:r>
              <w:rPr>
                <w:b w:val="0"/>
                <w:sz w:val="19"/>
              </w:rPr>
              <w:t>Which feature groups contribute</w:t>
            </w:r>
          </w:p>
        </w:tc>
      </w:tr>
    </w:tbl>
    <w:p/>
    <w:p>
      <w:r>
        <w:t>All E1–E3 models require minimum valid preprocessing; an unencoded raw data model would not be a fair baseline. Aggregation is itself a preprocessing operation, so E2 uses simple predeclared summaries and E3 adds derived ratios, flags and durations. We will also test robustness preprocessing within a fixed feature set to avoid confusing cleaning with integration.</w:t>
      </w:r>
    </w:p>
    <w:p>
      <w:r>
        <w:t>Models: logistic regression and random forest. We will use scikit-learn pipelines with training fitted imputation and one hot encoding; scaling applies to logistic regression. Model settings and tuning budget remain comparable across feature sets. Optional boosting will be added only after the core experiments are complete.</w:t>
      </w:r>
    </w:p>
    <w:p>
      <w:r>
        <w:t>Split eligible orders chronologically by prediction time into an initial 70% training, next 15% validation and final 15% test set. Fractions are planning targets and may be adjusted to preserve adequate low rating counts. Freeze test IDs before analysis. If an order has multiple records they must remain in one split; customer overlap will be measured and disclosed. No customer identifiers or customer history features are included in the core models.</w:t>
      </w:r>
    </w:p>
    <w:p>
      <w:r>
        <w:t>Primary measures: low rating PR-AUC reported as average precision, and F1 for y = 1. We will also report precision, recall, ROC-AUC, class prevalence and a confusion matrix. Choose the decision threshold on validation data only. Test results are evaluated once after choices are frozen. Compare paired differences on identical test orders; bootstrap intervals can communicate sampling uncertainty, with their assumptions stated.</w:t>
      </w:r>
    </w:p>
    <w:p>
      <w:pPr>
        <w:pStyle w:val="Heading1"/>
      </w:pPr>
      <w:r>
        <w:t>Expected outputs and interpretation</w:t>
      </w:r>
    </w:p>
    <w:p>
      <w:r>
        <w:t>Deliverables will include a validated order level analysis dataset, a data dictionary, reproducible preprocessing and model pipelines, an experiment comparison table, and figures on class distribution, missingness, PR curves and feature group ablations. Improvement is a hypothesis, not a promised result. If performance does not improve, we will analyze redundancy, noisy joins and overfitting. Feature importance indicates predictive association rather than causation.</w:t>
      </w:r>
    </w:p>
    <w:p>
      <w:pPr>
        <w:pStyle w:val="Heading1"/>
        <w:pageBreakBefore/>
      </w:pPr>
      <w:r>
        <w:t>Ten minute presentation plan</w:t>
      </w:r>
    </w:p>
    <w:tbl>
      <w:tblPr>
        <w:tblW w:type="auto" w:w="0"/>
        <w:tblLayout w:type="fixed"/>
        <w:tblLook w:firstColumn="1" w:firstRow="1" w:lastColumn="0" w:lastRow="0" w:noHBand="0" w:noVBand="1" w:val="04A0"/>
      </w:tblPr>
      <w:tblGrid>
        <w:gridCol w:w="2520"/>
        <w:gridCol w:w="2520"/>
        <w:gridCol w:w="2520"/>
        <w:gridCol w:w="2520"/>
      </w:tblGrid>
      <w:tr>
        <w:trPr>
          <w:tblHeader/>
        </w:trPr>
        <w:tc>
          <w:tcPr>
            <w:tcW w:type="dxa" w:w="792"/>
            <w:vAlign w:val="center"/>
            <w:tcBorders>
              <w:top w:val="single" w:sz="4" w:color="D9D9D9"/>
              <w:left w:val="single" w:sz="4" w:color="D9D9D9"/>
              <w:bottom w:val="single" w:sz="4" w:color="D9D9D9"/>
              <w:right w:val="single" w:sz="4" w:color="D9D9D9"/>
            </w:tcBorders>
            <w:shd w:fill="DCE6F1"/>
          </w:tcPr>
          <w:p>
            <w:pPr>
              <w:spacing w:before="60" w:after="60"/>
            </w:pPr>
            <w:r>
              <w:rPr>
                <w:b/>
                <w:sz w:val="19"/>
              </w:rPr>
              <w:t>Slide</w:t>
            </w:r>
          </w:p>
        </w:tc>
        <w:tc>
          <w:tcPr>
            <w:tcW w:type="dxa" w:w="5832"/>
            <w:vAlign w:val="center"/>
            <w:tcBorders>
              <w:top w:val="single" w:sz="4" w:color="D9D9D9"/>
              <w:left w:val="single" w:sz="4" w:color="D9D9D9"/>
              <w:bottom w:val="single" w:sz="4" w:color="D9D9D9"/>
              <w:right w:val="single" w:sz="4" w:color="D9D9D9"/>
            </w:tcBorders>
            <w:shd w:fill="DCE6F1"/>
          </w:tcPr>
          <w:p>
            <w:pPr>
              <w:spacing w:before="60" w:after="60"/>
            </w:pPr>
            <w:r>
              <w:rPr>
                <w:b/>
                <w:sz w:val="19"/>
              </w:rPr>
              <w:t>Content</w:t>
            </w:r>
          </w:p>
        </w:tc>
        <w:tc>
          <w:tcPr>
            <w:tcW w:type="dxa" w:w="1008"/>
            <w:vAlign w:val="center"/>
            <w:tcBorders>
              <w:top w:val="single" w:sz="4" w:color="D9D9D9"/>
              <w:left w:val="single" w:sz="4" w:color="D9D9D9"/>
              <w:bottom w:val="single" w:sz="4" w:color="D9D9D9"/>
              <w:right w:val="single" w:sz="4" w:color="D9D9D9"/>
            </w:tcBorders>
            <w:shd w:fill="DCE6F1"/>
          </w:tcPr>
          <w:p>
            <w:pPr>
              <w:spacing w:before="60" w:after="60"/>
            </w:pPr>
            <w:r>
              <w:rPr>
                <w:b/>
                <w:sz w:val="19"/>
              </w:rPr>
              <w:t>Speaker</w:t>
            </w:r>
          </w:p>
        </w:tc>
        <w:tc>
          <w:tcPr>
            <w:tcW w:type="dxa" w:w="1440"/>
            <w:vAlign w:val="center"/>
            <w:tcBorders>
              <w:top w:val="single" w:sz="4" w:color="D9D9D9"/>
              <w:left w:val="single" w:sz="4" w:color="D9D9D9"/>
              <w:bottom w:val="single" w:sz="4" w:color="D9D9D9"/>
              <w:right w:val="single" w:sz="4" w:color="D9D9D9"/>
            </w:tcBorders>
            <w:shd w:fill="DCE6F1"/>
          </w:tcPr>
          <w:p>
            <w:pPr>
              <w:spacing w:before="60" w:after="60"/>
            </w:pPr>
            <w:r>
              <w:rPr>
                <w:b/>
                <w:sz w:val="19"/>
              </w:rPr>
              <w:t>Time</w:t>
            </w:r>
          </w:p>
        </w:tc>
      </w:tr>
      <w:tr>
        <w:tc>
          <w:tcPr>
            <w:tcW w:type="dxa" w:w="792"/>
            <w:vAlign w:val="center"/>
            <w:tcBorders>
              <w:top w:val="single" w:sz="4" w:color="D9D9D9"/>
              <w:left w:val="single" w:sz="4" w:color="D9D9D9"/>
              <w:bottom w:val="single" w:sz="4" w:color="D9D9D9"/>
              <w:right w:val="single" w:sz="4" w:color="D9D9D9"/>
            </w:tcBorders>
            <w:shd w:fill="FFFFFF"/>
          </w:tcPr>
          <w:p>
            <w:pPr>
              <w:spacing w:before="60" w:after="60"/>
            </w:pPr>
            <w:r>
              <w:rPr>
                <w:b w:val="0"/>
                <w:sz w:val="19"/>
              </w:rPr>
              <w:t>1</w:t>
            </w:r>
          </w:p>
        </w:tc>
        <w:tc>
          <w:tcPr>
            <w:tcW w:type="dxa" w:w="5832"/>
            <w:vAlign w:val="center"/>
            <w:tcBorders>
              <w:top w:val="single" w:sz="4" w:color="D9D9D9"/>
              <w:left w:val="single" w:sz="4" w:color="D9D9D9"/>
              <w:bottom w:val="single" w:sz="4" w:color="D9D9D9"/>
              <w:right w:val="single" w:sz="4" w:color="D9D9D9"/>
            </w:tcBorders>
            <w:shd w:fill="FFFFFF"/>
          </w:tcPr>
          <w:p>
            <w:pPr>
              <w:spacing w:before="60" w:after="60"/>
            </w:pPr>
            <w:r>
              <w:rPr>
                <w:b w:val="0"/>
                <w:sz w:val="19"/>
              </w:rPr>
              <w:t>Title and research question</w:t>
            </w:r>
          </w:p>
        </w:tc>
        <w:tc>
          <w:tcPr>
            <w:tcW w:type="dxa" w:w="1008"/>
            <w:vAlign w:val="center"/>
            <w:tcBorders>
              <w:top w:val="single" w:sz="4" w:color="D9D9D9"/>
              <w:left w:val="single" w:sz="4" w:color="D9D9D9"/>
              <w:bottom w:val="single" w:sz="4" w:color="D9D9D9"/>
              <w:right w:val="single" w:sz="4" w:color="D9D9D9"/>
            </w:tcBorders>
            <w:shd w:fill="FFFFFF"/>
          </w:tcPr>
          <w:p>
            <w:pPr>
              <w:spacing w:before="60" w:after="60"/>
            </w:pPr>
            <w:r>
              <w:rPr>
                <w:b w:val="0"/>
                <w:sz w:val="19"/>
              </w:rPr>
              <w:t>A</w:t>
            </w:r>
          </w:p>
        </w:tc>
        <w:tc>
          <w:tcPr>
            <w:tcW w:type="dxa" w:w="1440"/>
            <w:vAlign w:val="center"/>
            <w:tcBorders>
              <w:top w:val="single" w:sz="4" w:color="D9D9D9"/>
              <w:left w:val="single" w:sz="4" w:color="D9D9D9"/>
              <w:bottom w:val="single" w:sz="4" w:color="D9D9D9"/>
              <w:right w:val="single" w:sz="4" w:color="D9D9D9"/>
            </w:tcBorders>
            <w:shd w:fill="FFFFFF"/>
          </w:tcPr>
          <w:p>
            <w:pPr>
              <w:spacing w:before="60" w:after="60"/>
            </w:pPr>
            <w:r>
              <w:rPr>
                <w:b w:val="0"/>
                <w:sz w:val="19"/>
              </w:rPr>
              <w:t>0:45</w:t>
            </w:r>
          </w:p>
        </w:tc>
      </w:tr>
      <w:tr>
        <w:tc>
          <w:tcPr>
            <w:tcW w:type="dxa" w:w="792"/>
            <w:vAlign w:val="center"/>
            <w:tcBorders>
              <w:top w:val="single" w:sz="4" w:color="D9D9D9"/>
              <w:left w:val="single" w:sz="4" w:color="D9D9D9"/>
              <w:bottom w:val="single" w:sz="4" w:color="D9D9D9"/>
              <w:right w:val="single" w:sz="4" w:color="D9D9D9"/>
            </w:tcBorders>
            <w:shd w:fill="FFFFFF"/>
          </w:tcPr>
          <w:p>
            <w:pPr>
              <w:spacing w:before="60" w:after="60"/>
            </w:pPr>
            <w:r>
              <w:rPr>
                <w:b w:val="0"/>
                <w:sz w:val="19"/>
              </w:rPr>
              <w:t>2</w:t>
            </w:r>
          </w:p>
        </w:tc>
        <w:tc>
          <w:tcPr>
            <w:tcW w:type="dxa" w:w="5832"/>
            <w:vAlign w:val="center"/>
            <w:tcBorders>
              <w:top w:val="single" w:sz="4" w:color="D9D9D9"/>
              <w:left w:val="single" w:sz="4" w:color="D9D9D9"/>
              <w:bottom w:val="single" w:sz="4" w:color="D9D9D9"/>
              <w:right w:val="single" w:sz="4" w:color="D9D9D9"/>
            </w:tcBorders>
            <w:shd w:fill="FFFFFF"/>
          </w:tcPr>
          <w:p>
            <w:pPr>
              <w:spacing w:before="60" w:after="60"/>
            </w:pPr>
            <w:r>
              <w:rPr>
                <w:b w:val="0"/>
                <w:sz w:val="19"/>
              </w:rPr>
              <w:t>Why the problem matters and prediction point</w:t>
            </w:r>
          </w:p>
        </w:tc>
        <w:tc>
          <w:tcPr>
            <w:tcW w:type="dxa" w:w="1008"/>
            <w:vAlign w:val="center"/>
            <w:tcBorders>
              <w:top w:val="single" w:sz="4" w:color="D9D9D9"/>
              <w:left w:val="single" w:sz="4" w:color="D9D9D9"/>
              <w:bottom w:val="single" w:sz="4" w:color="D9D9D9"/>
              <w:right w:val="single" w:sz="4" w:color="D9D9D9"/>
            </w:tcBorders>
            <w:shd w:fill="FFFFFF"/>
          </w:tcPr>
          <w:p>
            <w:pPr>
              <w:spacing w:before="60" w:after="60"/>
            </w:pPr>
            <w:r>
              <w:rPr>
                <w:b w:val="0"/>
                <w:sz w:val="19"/>
              </w:rPr>
              <w:t>A</w:t>
            </w:r>
          </w:p>
        </w:tc>
        <w:tc>
          <w:tcPr>
            <w:tcW w:type="dxa" w:w="1440"/>
            <w:vAlign w:val="center"/>
            <w:tcBorders>
              <w:top w:val="single" w:sz="4" w:color="D9D9D9"/>
              <w:left w:val="single" w:sz="4" w:color="D9D9D9"/>
              <w:bottom w:val="single" w:sz="4" w:color="D9D9D9"/>
              <w:right w:val="single" w:sz="4" w:color="D9D9D9"/>
            </w:tcBorders>
            <w:shd w:fill="FFFFFF"/>
          </w:tcPr>
          <w:p>
            <w:pPr>
              <w:spacing w:before="60" w:after="60"/>
            </w:pPr>
            <w:r>
              <w:rPr>
                <w:b w:val="0"/>
                <w:sz w:val="19"/>
              </w:rPr>
              <w:t>1:15</w:t>
            </w:r>
          </w:p>
        </w:tc>
      </w:tr>
      <w:tr>
        <w:tc>
          <w:tcPr>
            <w:tcW w:type="dxa" w:w="792"/>
            <w:vAlign w:val="center"/>
            <w:tcBorders>
              <w:top w:val="single" w:sz="4" w:color="D9D9D9"/>
              <w:left w:val="single" w:sz="4" w:color="D9D9D9"/>
              <w:bottom w:val="single" w:sz="4" w:color="D9D9D9"/>
              <w:right w:val="single" w:sz="4" w:color="D9D9D9"/>
            </w:tcBorders>
            <w:shd w:fill="FFFFFF"/>
          </w:tcPr>
          <w:p>
            <w:pPr>
              <w:spacing w:before="60" w:after="60"/>
            </w:pPr>
            <w:r>
              <w:rPr>
                <w:b w:val="0"/>
                <w:sz w:val="19"/>
              </w:rPr>
              <w:t>3</w:t>
            </w:r>
          </w:p>
        </w:tc>
        <w:tc>
          <w:tcPr>
            <w:tcW w:type="dxa" w:w="5832"/>
            <w:vAlign w:val="center"/>
            <w:tcBorders>
              <w:top w:val="single" w:sz="4" w:color="D9D9D9"/>
              <w:left w:val="single" w:sz="4" w:color="D9D9D9"/>
              <w:bottom w:val="single" w:sz="4" w:color="D9D9D9"/>
              <w:right w:val="single" w:sz="4" w:color="D9D9D9"/>
            </w:tcBorders>
            <w:shd w:fill="FFFFFF"/>
          </w:tcPr>
          <w:p>
            <w:pPr>
              <w:spacing w:before="60" w:after="60"/>
            </w:pPr>
            <w:r>
              <w:rPr>
                <w:b w:val="0"/>
                <w:sz w:val="19"/>
              </w:rPr>
              <w:t>Dataset and target definition</w:t>
            </w:r>
          </w:p>
        </w:tc>
        <w:tc>
          <w:tcPr>
            <w:tcW w:type="dxa" w:w="1008"/>
            <w:vAlign w:val="center"/>
            <w:tcBorders>
              <w:top w:val="single" w:sz="4" w:color="D9D9D9"/>
              <w:left w:val="single" w:sz="4" w:color="D9D9D9"/>
              <w:bottom w:val="single" w:sz="4" w:color="D9D9D9"/>
              <w:right w:val="single" w:sz="4" w:color="D9D9D9"/>
            </w:tcBorders>
            <w:shd w:fill="FFFFFF"/>
          </w:tcPr>
          <w:p>
            <w:pPr>
              <w:spacing w:before="60" w:after="60"/>
            </w:pPr>
            <w:r>
              <w:rPr>
                <w:b w:val="0"/>
                <w:sz w:val="19"/>
              </w:rPr>
              <w:t>A</w:t>
            </w:r>
          </w:p>
        </w:tc>
        <w:tc>
          <w:tcPr>
            <w:tcW w:type="dxa" w:w="1440"/>
            <w:vAlign w:val="center"/>
            <w:tcBorders>
              <w:top w:val="single" w:sz="4" w:color="D9D9D9"/>
              <w:left w:val="single" w:sz="4" w:color="D9D9D9"/>
              <w:bottom w:val="single" w:sz="4" w:color="D9D9D9"/>
              <w:right w:val="single" w:sz="4" w:color="D9D9D9"/>
            </w:tcBorders>
            <w:shd w:fill="FFFFFF"/>
          </w:tcPr>
          <w:p>
            <w:pPr>
              <w:spacing w:before="60" w:after="60"/>
            </w:pPr>
            <w:r>
              <w:rPr>
                <w:b w:val="0"/>
                <w:sz w:val="19"/>
              </w:rPr>
              <w:t>1:15</w:t>
            </w:r>
          </w:p>
        </w:tc>
      </w:tr>
      <w:tr>
        <w:tc>
          <w:tcPr>
            <w:tcW w:type="dxa" w:w="792"/>
            <w:vAlign w:val="center"/>
            <w:tcBorders>
              <w:top w:val="single" w:sz="4" w:color="D9D9D9"/>
              <w:left w:val="single" w:sz="4" w:color="D9D9D9"/>
              <w:bottom w:val="single" w:sz="4" w:color="D9D9D9"/>
              <w:right w:val="single" w:sz="4" w:color="D9D9D9"/>
            </w:tcBorders>
            <w:shd w:fill="FFFFFF"/>
          </w:tcPr>
          <w:p>
            <w:pPr>
              <w:spacing w:before="60" w:after="60"/>
            </w:pPr>
            <w:r>
              <w:rPr>
                <w:b w:val="0"/>
                <w:sz w:val="19"/>
              </w:rPr>
              <w:t>4</w:t>
            </w:r>
          </w:p>
        </w:tc>
        <w:tc>
          <w:tcPr>
            <w:tcW w:type="dxa" w:w="5832"/>
            <w:vAlign w:val="center"/>
            <w:tcBorders>
              <w:top w:val="single" w:sz="4" w:color="D9D9D9"/>
              <w:left w:val="single" w:sz="4" w:color="D9D9D9"/>
              <w:bottom w:val="single" w:sz="4" w:color="D9D9D9"/>
              <w:right w:val="single" w:sz="4" w:color="D9D9D9"/>
            </w:tcBorders>
            <w:shd w:fill="FFFFFF"/>
          </w:tcPr>
          <w:p>
            <w:pPr>
              <w:spacing w:before="60" w:after="60"/>
            </w:pPr>
            <w:r>
              <w:rPr>
                <w:b w:val="0"/>
                <w:sz w:val="19"/>
              </w:rPr>
              <w:t>Order level integration and duplicate prevention</w:t>
            </w:r>
          </w:p>
        </w:tc>
        <w:tc>
          <w:tcPr>
            <w:tcW w:type="dxa" w:w="1008"/>
            <w:vAlign w:val="center"/>
            <w:tcBorders>
              <w:top w:val="single" w:sz="4" w:color="D9D9D9"/>
              <w:left w:val="single" w:sz="4" w:color="D9D9D9"/>
              <w:bottom w:val="single" w:sz="4" w:color="D9D9D9"/>
              <w:right w:val="single" w:sz="4" w:color="D9D9D9"/>
            </w:tcBorders>
            <w:shd w:fill="FFFFFF"/>
          </w:tcPr>
          <w:p>
            <w:pPr>
              <w:spacing w:before="60" w:after="60"/>
            </w:pPr>
            <w:r>
              <w:rPr>
                <w:b w:val="0"/>
                <w:sz w:val="19"/>
              </w:rPr>
              <w:t>B</w:t>
            </w:r>
          </w:p>
        </w:tc>
        <w:tc>
          <w:tcPr>
            <w:tcW w:type="dxa" w:w="1440"/>
            <w:vAlign w:val="center"/>
            <w:tcBorders>
              <w:top w:val="single" w:sz="4" w:color="D9D9D9"/>
              <w:left w:val="single" w:sz="4" w:color="D9D9D9"/>
              <w:bottom w:val="single" w:sz="4" w:color="D9D9D9"/>
              <w:right w:val="single" w:sz="4" w:color="D9D9D9"/>
            </w:tcBorders>
            <w:shd w:fill="FFFFFF"/>
          </w:tcPr>
          <w:p>
            <w:pPr>
              <w:spacing w:before="60" w:after="60"/>
            </w:pPr>
            <w:r>
              <w:rPr>
                <w:b w:val="0"/>
                <w:sz w:val="19"/>
              </w:rPr>
              <w:t>1:15</w:t>
            </w:r>
          </w:p>
        </w:tc>
      </w:tr>
      <w:tr>
        <w:tc>
          <w:tcPr>
            <w:tcW w:type="dxa" w:w="792"/>
            <w:vAlign w:val="center"/>
            <w:tcBorders>
              <w:top w:val="single" w:sz="4" w:color="D9D9D9"/>
              <w:left w:val="single" w:sz="4" w:color="D9D9D9"/>
              <w:bottom w:val="single" w:sz="4" w:color="D9D9D9"/>
              <w:right w:val="single" w:sz="4" w:color="D9D9D9"/>
            </w:tcBorders>
            <w:shd w:fill="FFFFFF"/>
          </w:tcPr>
          <w:p>
            <w:pPr>
              <w:spacing w:before="60" w:after="60"/>
            </w:pPr>
            <w:r>
              <w:rPr>
                <w:b w:val="0"/>
                <w:sz w:val="19"/>
              </w:rPr>
              <w:t>5</w:t>
            </w:r>
          </w:p>
        </w:tc>
        <w:tc>
          <w:tcPr>
            <w:tcW w:type="dxa" w:w="5832"/>
            <w:vAlign w:val="center"/>
            <w:tcBorders>
              <w:top w:val="single" w:sz="4" w:color="D9D9D9"/>
              <w:left w:val="single" w:sz="4" w:color="D9D9D9"/>
              <w:bottom w:val="single" w:sz="4" w:color="D9D9D9"/>
              <w:right w:val="single" w:sz="4" w:color="D9D9D9"/>
            </w:tcBorders>
            <w:shd w:fill="FFFFFF"/>
          </w:tcPr>
          <w:p>
            <w:pPr>
              <w:spacing w:before="60" w:after="60"/>
            </w:pPr>
            <w:r>
              <w:rPr>
                <w:b w:val="0"/>
                <w:sz w:val="19"/>
              </w:rPr>
              <w:t>Planned engineered features</w:t>
            </w:r>
          </w:p>
        </w:tc>
        <w:tc>
          <w:tcPr>
            <w:tcW w:type="dxa" w:w="1008"/>
            <w:vAlign w:val="center"/>
            <w:tcBorders>
              <w:top w:val="single" w:sz="4" w:color="D9D9D9"/>
              <w:left w:val="single" w:sz="4" w:color="D9D9D9"/>
              <w:bottom w:val="single" w:sz="4" w:color="D9D9D9"/>
              <w:right w:val="single" w:sz="4" w:color="D9D9D9"/>
            </w:tcBorders>
            <w:shd w:fill="FFFFFF"/>
          </w:tcPr>
          <w:p>
            <w:pPr>
              <w:spacing w:before="60" w:after="60"/>
            </w:pPr>
            <w:r>
              <w:rPr>
                <w:b w:val="0"/>
                <w:sz w:val="19"/>
              </w:rPr>
              <w:t>B</w:t>
            </w:r>
          </w:p>
        </w:tc>
        <w:tc>
          <w:tcPr>
            <w:tcW w:type="dxa" w:w="1440"/>
            <w:vAlign w:val="center"/>
            <w:tcBorders>
              <w:top w:val="single" w:sz="4" w:color="D9D9D9"/>
              <w:left w:val="single" w:sz="4" w:color="D9D9D9"/>
              <w:bottom w:val="single" w:sz="4" w:color="D9D9D9"/>
              <w:right w:val="single" w:sz="4" w:color="D9D9D9"/>
            </w:tcBorders>
            <w:shd w:fill="FFFFFF"/>
          </w:tcPr>
          <w:p>
            <w:pPr>
              <w:spacing w:before="60" w:after="60"/>
            </w:pPr>
            <w:r>
              <w:rPr>
                <w:b w:val="0"/>
                <w:sz w:val="19"/>
              </w:rPr>
              <w:t>1:30</w:t>
            </w:r>
          </w:p>
        </w:tc>
      </w:tr>
      <w:tr>
        <w:tc>
          <w:tcPr>
            <w:tcW w:type="dxa" w:w="792"/>
            <w:vAlign w:val="center"/>
            <w:tcBorders>
              <w:top w:val="single" w:sz="4" w:color="D9D9D9"/>
              <w:left w:val="single" w:sz="4" w:color="D9D9D9"/>
              <w:bottom w:val="single" w:sz="4" w:color="D9D9D9"/>
              <w:right w:val="single" w:sz="4" w:color="D9D9D9"/>
            </w:tcBorders>
            <w:shd w:fill="FFFFFF"/>
          </w:tcPr>
          <w:p>
            <w:pPr>
              <w:spacing w:before="60" w:after="60"/>
            </w:pPr>
            <w:r>
              <w:rPr>
                <w:b w:val="0"/>
                <w:sz w:val="19"/>
              </w:rPr>
              <w:t>6</w:t>
            </w:r>
          </w:p>
        </w:tc>
        <w:tc>
          <w:tcPr>
            <w:tcW w:type="dxa" w:w="5832"/>
            <w:vAlign w:val="center"/>
            <w:tcBorders>
              <w:top w:val="single" w:sz="4" w:color="D9D9D9"/>
              <w:left w:val="single" w:sz="4" w:color="D9D9D9"/>
              <w:bottom w:val="single" w:sz="4" w:color="D9D9D9"/>
              <w:right w:val="single" w:sz="4" w:color="D9D9D9"/>
            </w:tcBorders>
            <w:shd w:fill="FFFFFF"/>
          </w:tcPr>
          <w:p>
            <w:pPr>
              <w:spacing w:before="60" w:after="60"/>
            </w:pPr>
            <w:r>
              <w:rPr>
                <w:b w:val="0"/>
                <w:sz w:val="19"/>
              </w:rPr>
              <w:t>E1–E3 controlled experiments</w:t>
            </w:r>
          </w:p>
        </w:tc>
        <w:tc>
          <w:tcPr>
            <w:tcW w:type="dxa" w:w="1008"/>
            <w:vAlign w:val="center"/>
            <w:tcBorders>
              <w:top w:val="single" w:sz="4" w:color="D9D9D9"/>
              <w:left w:val="single" w:sz="4" w:color="D9D9D9"/>
              <w:bottom w:val="single" w:sz="4" w:color="D9D9D9"/>
              <w:right w:val="single" w:sz="4" w:color="D9D9D9"/>
            </w:tcBorders>
            <w:shd w:fill="FFFFFF"/>
          </w:tcPr>
          <w:p>
            <w:pPr>
              <w:spacing w:before="60" w:after="60"/>
            </w:pPr>
            <w:r>
              <w:rPr>
                <w:b w:val="0"/>
                <w:sz w:val="19"/>
              </w:rPr>
              <w:t>B</w:t>
            </w:r>
          </w:p>
        </w:tc>
        <w:tc>
          <w:tcPr>
            <w:tcW w:type="dxa" w:w="1440"/>
            <w:vAlign w:val="center"/>
            <w:tcBorders>
              <w:top w:val="single" w:sz="4" w:color="D9D9D9"/>
              <w:left w:val="single" w:sz="4" w:color="D9D9D9"/>
              <w:bottom w:val="single" w:sz="4" w:color="D9D9D9"/>
              <w:right w:val="single" w:sz="4" w:color="D9D9D9"/>
            </w:tcBorders>
            <w:shd w:fill="FFFFFF"/>
          </w:tcPr>
          <w:p>
            <w:pPr>
              <w:spacing w:before="60" w:after="60"/>
            </w:pPr>
            <w:r>
              <w:rPr>
                <w:b w:val="0"/>
                <w:sz w:val="19"/>
              </w:rPr>
              <w:t>1:15</w:t>
            </w:r>
          </w:p>
        </w:tc>
      </w:tr>
      <w:tr>
        <w:tc>
          <w:tcPr>
            <w:tcW w:type="dxa" w:w="792"/>
            <w:vAlign w:val="center"/>
            <w:tcBorders>
              <w:top w:val="single" w:sz="4" w:color="D9D9D9"/>
              <w:left w:val="single" w:sz="4" w:color="D9D9D9"/>
              <w:bottom w:val="single" w:sz="4" w:color="D9D9D9"/>
              <w:right w:val="single" w:sz="4" w:color="D9D9D9"/>
            </w:tcBorders>
            <w:shd w:fill="FFFFFF"/>
          </w:tcPr>
          <w:p>
            <w:pPr>
              <w:spacing w:before="60" w:after="60"/>
            </w:pPr>
            <w:r>
              <w:rPr>
                <w:b w:val="0"/>
                <w:sz w:val="19"/>
              </w:rPr>
              <w:t>7</w:t>
            </w:r>
          </w:p>
        </w:tc>
        <w:tc>
          <w:tcPr>
            <w:tcW w:type="dxa" w:w="5832"/>
            <w:vAlign w:val="center"/>
            <w:tcBorders>
              <w:top w:val="single" w:sz="4" w:color="D9D9D9"/>
              <w:left w:val="single" w:sz="4" w:color="D9D9D9"/>
              <w:bottom w:val="single" w:sz="4" w:color="D9D9D9"/>
              <w:right w:val="single" w:sz="4" w:color="D9D9D9"/>
            </w:tcBorders>
            <w:shd w:fill="FFFFFF"/>
          </w:tcPr>
          <w:p>
            <w:pPr>
              <w:spacing w:before="60" w:after="60"/>
            </w:pPr>
            <w:r>
              <w:rPr>
                <w:b w:val="0"/>
                <w:sz w:val="19"/>
              </w:rPr>
              <w:t>Models, split, metrics and leakage controls</w:t>
            </w:r>
          </w:p>
        </w:tc>
        <w:tc>
          <w:tcPr>
            <w:tcW w:type="dxa" w:w="1008"/>
            <w:vAlign w:val="center"/>
            <w:tcBorders>
              <w:top w:val="single" w:sz="4" w:color="D9D9D9"/>
              <w:left w:val="single" w:sz="4" w:color="D9D9D9"/>
              <w:bottom w:val="single" w:sz="4" w:color="D9D9D9"/>
              <w:right w:val="single" w:sz="4" w:color="D9D9D9"/>
            </w:tcBorders>
            <w:shd w:fill="FFFFFF"/>
          </w:tcPr>
          <w:p>
            <w:pPr>
              <w:spacing w:before="60" w:after="60"/>
            </w:pPr>
            <w:r>
              <w:rPr>
                <w:b w:val="0"/>
                <w:sz w:val="19"/>
              </w:rPr>
              <w:t>C</w:t>
            </w:r>
          </w:p>
        </w:tc>
        <w:tc>
          <w:tcPr>
            <w:tcW w:type="dxa" w:w="1440"/>
            <w:vAlign w:val="center"/>
            <w:tcBorders>
              <w:top w:val="single" w:sz="4" w:color="D9D9D9"/>
              <w:left w:val="single" w:sz="4" w:color="D9D9D9"/>
              <w:bottom w:val="single" w:sz="4" w:color="D9D9D9"/>
              <w:right w:val="single" w:sz="4" w:color="D9D9D9"/>
            </w:tcBorders>
            <w:shd w:fill="FFFFFF"/>
          </w:tcPr>
          <w:p>
            <w:pPr>
              <w:spacing w:before="60" w:after="60"/>
            </w:pPr>
            <w:r>
              <w:rPr>
                <w:b w:val="0"/>
                <w:sz w:val="19"/>
              </w:rPr>
              <w:t>1:45</w:t>
            </w:r>
          </w:p>
        </w:tc>
      </w:tr>
      <w:tr>
        <w:tc>
          <w:tcPr>
            <w:tcW w:type="dxa" w:w="792"/>
            <w:vAlign w:val="center"/>
            <w:tcBorders>
              <w:top w:val="single" w:sz="4" w:color="D9D9D9"/>
              <w:left w:val="single" w:sz="4" w:color="D9D9D9"/>
              <w:bottom w:val="single" w:sz="4" w:color="D9D9D9"/>
              <w:right w:val="single" w:sz="4" w:color="D9D9D9"/>
            </w:tcBorders>
            <w:shd w:fill="FFFFFF"/>
          </w:tcPr>
          <w:p>
            <w:pPr>
              <w:spacing w:before="60" w:after="60"/>
            </w:pPr>
            <w:r>
              <w:rPr>
                <w:b w:val="0"/>
                <w:sz w:val="19"/>
              </w:rPr>
              <w:t>8</w:t>
            </w:r>
          </w:p>
        </w:tc>
        <w:tc>
          <w:tcPr>
            <w:tcW w:type="dxa" w:w="5832"/>
            <w:vAlign w:val="center"/>
            <w:tcBorders>
              <w:top w:val="single" w:sz="4" w:color="D9D9D9"/>
              <w:left w:val="single" w:sz="4" w:color="D9D9D9"/>
              <w:bottom w:val="single" w:sz="4" w:color="D9D9D9"/>
              <w:right w:val="single" w:sz="4" w:color="D9D9D9"/>
            </w:tcBorders>
            <w:shd w:fill="FFFFFF"/>
          </w:tcPr>
          <w:p>
            <w:pPr>
              <w:spacing w:before="60" w:after="60"/>
            </w:pPr>
            <w:r>
              <w:rPr>
                <w:b w:val="0"/>
                <w:sz w:val="19"/>
              </w:rPr>
              <w:t>Schedule, deliverables and feasibility</w:t>
            </w:r>
          </w:p>
        </w:tc>
        <w:tc>
          <w:tcPr>
            <w:tcW w:type="dxa" w:w="1008"/>
            <w:vAlign w:val="center"/>
            <w:tcBorders>
              <w:top w:val="single" w:sz="4" w:color="D9D9D9"/>
              <w:left w:val="single" w:sz="4" w:color="D9D9D9"/>
              <w:bottom w:val="single" w:sz="4" w:color="D9D9D9"/>
              <w:right w:val="single" w:sz="4" w:color="D9D9D9"/>
            </w:tcBorders>
            <w:shd w:fill="FFFFFF"/>
          </w:tcPr>
          <w:p>
            <w:pPr>
              <w:spacing w:before="60" w:after="60"/>
            </w:pPr>
            <w:r>
              <w:rPr>
                <w:b w:val="0"/>
                <w:sz w:val="19"/>
              </w:rPr>
              <w:t>C</w:t>
            </w:r>
          </w:p>
        </w:tc>
        <w:tc>
          <w:tcPr>
            <w:tcW w:type="dxa" w:w="1440"/>
            <w:vAlign w:val="center"/>
            <w:tcBorders>
              <w:top w:val="single" w:sz="4" w:color="D9D9D9"/>
              <w:left w:val="single" w:sz="4" w:color="D9D9D9"/>
              <w:bottom w:val="single" w:sz="4" w:color="D9D9D9"/>
              <w:right w:val="single" w:sz="4" w:color="D9D9D9"/>
            </w:tcBorders>
            <w:shd w:fill="FFFFFF"/>
          </w:tcPr>
          <w:p>
            <w:pPr>
              <w:spacing w:before="60" w:after="60"/>
            </w:pPr>
            <w:r>
              <w:rPr>
                <w:b w:val="0"/>
                <w:sz w:val="19"/>
              </w:rPr>
              <w:t>1:00</w:t>
            </w:r>
          </w:p>
        </w:tc>
      </w:tr>
    </w:tbl>
    <w:p/>
    <w:p>
      <w:r>
        <w:t>Total speaking time is 10 minutes. This is a proposal: present the research design and any completed data audit, and clearly label planned work. The final deadline was not provided; the post proposal schedule will be aligned with the course requirements once announced.</w:t>
      </w:r>
    </w:p>
    <w:p>
      <w:pPr>
        <w:pStyle w:val="Heading1"/>
      </w:pPr>
      <w:r>
        <w:t>Preparation milestones</w:t>
      </w:r>
    </w:p>
    <w:p>
      <w:r>
        <w:t>7–10 October: download and audit data, verify the eligible sample, finalize scope. 11–14 October: construct the first order level table and feature dictionary. 15–17 October: run a feasibility baseline and draft eight slides. 18–20 October: audit the methodology, rehearse and freeze the presentation. 21 October: present the proposal.</w:t>
      </w:r>
    </w:p>
    <w:p>
      <w:pPr>
        <w:pStyle w:val="Heading1"/>
      </w:pPr>
      <w:r>
        <w:t>Sources</w:t>
      </w:r>
    </w:p>
    <w:p>
      <w:r>
        <w:t>Olist. (n.d.). Brazilian E-Commerce Public Dataset by Olist [Data set]. Kaggle. https://www.kaggle.com/datasets/olistbr/brazilian-ecommerce</w:t>
      </w:r>
    </w:p>
    <w:p>
      <w:r>
        <w:t>Scikit-learn developers. (n.d.). Common pitfalls and recommended practices. https://scikit-learn.org/stable/common_pitfalls.html</w:t>
      </w:r>
    </w:p>
    <w:p>
      <w:r>
        <w:t>Scikit-learn developers. (n.d.). average_precision_score. https://scikit-learn.org/stable/modules/generated/sklearn.metrics.average_precision_score.html</w:t>
      </w:r>
    </w:p>
    <w:sectPr w:rsidR="00FC693F" w:rsidRPr="0006063C" w:rsidSect="00034616">
      <w:footerReference w:type="default" r:id="rId9"/>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eastAsia="Noto Sans CJK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Noto Sans CJK S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Noto Sans CJK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eastAsia="Noto Sans CJK SC"/>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Noto Sans CJK S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