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2C5F8A"/>
          <w:sz w:val="36"/>
          <w:szCs w:val="36"/>
        </w:rPr>
        <w:t xml:space="preserve">PDF Library Organiser for Scientific Articles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DS3294 Data Science Practice  |  Project #12  |  Mini-Project Report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Utkarsh  |  Aratrika  |  Jhanvi  |  Aayush</w:t>
      </w:r>
    </w:p>
    <w:p>
      <w:pPr>
        <w:pStyle w:val="Heading1"/>
        <w:pBdr>
          <w:bottom w:val="single" w:color="2C5F8A" w:sz="4" w:space="4"/>
        </w:pBdr>
        <w:spacing w:before="240" w:after="10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1. Project Objective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Design and implement a system for organising, indexing, and managing a local library of scientific articles in PDF format. The system enables efficient search, automated metadata extraction, and reproducible curation of a research database across four domains: biology, chemistry, mathematics, and physics.</w:t>
      </w:r>
    </w:p>
    <w:p>
      <w:pPr>
        <w:spacing w:before="80" w:after="0"/>
      </w:pPr>
      <w:r>
        <w:t xml:space="preserve"/>
      </w:r>
    </w:p>
    <w:p>
      <w:pPr>
        <w:pStyle w:val="Heading1"/>
        <w:pBdr>
          <w:bottom w:val="single" w:color="2C5F8A" w:sz="4" w:space="4"/>
        </w:pBdr>
        <w:spacing w:before="240" w:after="10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2. Steps Taken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Corpus Collection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Manually collected 63 open-access PDFs from arXiv, Nature Communications, BMC, MDPI, and AMS Mathematics of Computation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biology (17)</w:t>
      </w:r>
      <w:r>
        <w:rPr>
          <w:rFonts w:ascii="Arial" w:cs="Arial" w:eastAsia="Arial" w:hAnsi="Arial"/>
          <w:sz w:val="20"/>
          <w:szCs w:val="20"/>
        </w:rPr>
        <w:t xml:space="preserve">, chemistry (15), mathematics (15), physics (16)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Pipeline Development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schema.py:</w:t>
      </w:r>
      <w:r>
        <w:rPr>
          <w:rFonts w:ascii="Arial" w:cs="Arial" w:eastAsia="Arial" w:hAnsi="Arial"/>
          <w:sz w:val="20"/>
          <w:szCs w:val="20"/>
        </w:rPr>
        <w:t xml:space="preserve"> defined a shared 14-field article dictionary used by all modules as the common data contract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ingestion.py:</w:t>
      </w:r>
      <w:r>
        <w:rPr>
          <w:rFonts w:ascii="Arial" w:cs="Arial" w:eastAsia="Arial" w:hAnsi="Arial"/>
          <w:sz w:val="20"/>
          <w:szCs w:val="20"/>
        </w:rPr>
        <w:t xml:space="preserve"> scans folders, computes MD5 hashes for deduplication, classifies filenames using 11 regex patterns, assigns research domain from subfolder name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extractor.py:</w:t>
      </w:r>
      <w:r>
        <w:rPr>
          <w:rFonts w:ascii="Arial" w:cs="Arial" w:eastAsia="Arial" w:hAnsi="Arial"/>
          <w:sz w:val="20"/>
          <w:szCs w:val="20"/>
        </w:rPr>
        <w:t xml:space="preserve"> 3-stage metadata extraction (embedded PDF metadata, first-page text parsing, filename hints) with garbage filtering and field normalisation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storage.py:</w:t>
      </w:r>
      <w:r>
        <w:rPr>
          <w:rFonts w:ascii="Arial" w:cs="Arial" w:eastAsia="Arial" w:hAnsi="Arial"/>
          <w:sz w:val="20"/>
          <w:szCs w:val="20"/>
        </w:rPr>
        <w:t xml:space="preserve"> dual-backend persistence to SQLite and CSV with insert(), get(), and get_all() functions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search.py:</w:t>
      </w:r>
      <w:r>
        <w:rPr>
          <w:rFonts w:ascii="Arial" w:cs="Arial" w:eastAsia="Arial" w:hAnsi="Arial"/>
          <w:sz w:val="20"/>
          <w:szCs w:val="20"/>
        </w:rPr>
        <w:t xml:space="preserve"> 14 query functions returning pandas DataFrames for consistent search and filtering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main.py:</w:t>
      </w:r>
      <w:r>
        <w:rPr>
          <w:rFonts w:ascii="Arial" w:cs="Arial" w:eastAsia="Arial" w:hAnsi="Arial"/>
          <w:sz w:val="20"/>
          <w:szCs w:val="20"/>
        </w:rPr>
        <w:t xml:space="preserve"> full pipeline orchestration with CLI flags, dashboard output, citation count via Semantic Scholar API, and citation network via NetworkX</w:t>
      </w:r>
    </w:p>
    <w:p>
      <w:pPr>
        <w:spacing w:before="80" w:after="0"/>
      </w:pPr>
      <w:r>
        <w:t xml:space="preserve"/>
      </w:r>
    </w:p>
    <w:p>
      <w:pPr>
        <w:pStyle w:val="Heading1"/>
        <w:pBdr>
          <w:bottom w:val="single" w:color="2C5F8A" w:sz="4" w:space="4"/>
        </w:pBdr>
        <w:spacing w:before="240" w:after="10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3. Major Algorithms and Processes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MD5-based Deduplication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Each PDF is hashed using MD5 on its binary content. Hashes are persisted in seen_hashes.json across runs. Any file whose hash already exists is skipped at ingestion time, preventing duplicate records regardless of filename.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3-Stage Metadata Extraction Fallback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Stage A (PyPDF2 + pdfplumber):</w:t>
      </w:r>
      <w:r>
        <w:rPr>
          <w:rFonts w:ascii="Arial" w:cs="Arial" w:eastAsia="Arial" w:hAnsi="Arial"/>
          <w:sz w:val="20"/>
          <w:szCs w:val="20"/>
        </w:rPr>
        <w:t xml:space="preserve"> reads the PDF internal metadata dictionary (/Title, /Author, /Keywords). Garbage values such as Word filenames, blank strings, and corrupted text are rejected using a regex blacklist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Stage B (pdfplumber only):</w:t>
      </w:r>
      <w:r>
        <w:rPr>
          <w:rFonts w:ascii="Arial" w:cs="Arial" w:eastAsia="Arial" w:hAnsi="Arial"/>
          <w:sz w:val="20"/>
          <w:szCs w:val="20"/>
        </w:rPr>
        <w:t xml:space="preserve"> extracts character-level font data to identify the largest-font text block on the page as the title. Authors are located by scanning lines between the title and the Abstract header. Falls back to page 2 for publisher cover pages (e.g. Nature Communications)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Stage C (filename hints):</w:t>
      </w:r>
      <w:r>
        <w:rPr>
          <w:rFonts w:ascii="Arial" w:cs="Arial" w:eastAsia="Arial" w:hAnsi="Arial"/>
          <w:sz w:val="20"/>
          <w:szCs w:val="20"/>
        </w:rPr>
        <w:t xml:space="preserve"> uses publisher-specific filename patterns to recover year, journal, and title when both Stage A and Stage B fail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Citation Network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Reference sections are parsed from PDF text to extract cited paper titles. A directed graph is built using NetworkX where nodes are papers and edges represent citations. Citation counts are enriched using the Semantic Scholar API (free, no key required).</w:t>
      </w:r>
    </w:p>
    <w:p>
      <w:pPr>
        <w:spacing w:before="8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C5F8A" w:sz="4" w:space="4"/>
        </w:pBdr>
        <w:spacing w:before="240" w:after="10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4. Current Status of 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2560"/>
      </w:tblGrid>
      <w:tr>
        <w:tc>
          <w:tcPr>
            <w:tcW w:type="dxa" w:w="26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42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56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schema.py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members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ingestion.py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Utkarsh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extractor.py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Development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Aratrika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storage.py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Development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Jhanvi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search.py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Development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Aayush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main.py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Development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Utkarsh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citation features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Planned - Semantic Scholar API + NetworkX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Utkarsh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analysis notebook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Planned - benchmarking and visualisation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Aayush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2C5F8A" w:sz="4" w:space="4"/>
        </w:pBdr>
        <w:spacing w:before="240" w:after="10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5. Team Work Distribution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c>
          <w:tcPr>
            <w:tcW w:type="dxa" w:w="18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Member</w:t>
            </w:r>
          </w:p>
        </w:tc>
        <w:tc>
          <w:tcPr>
            <w:tcW w:type="dxa" w:w="24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516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Responsibilities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Utkarsh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 Lead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ingestion.py, main.py, pipeline integration, CLI, citation features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Aratrika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Metadata Extraction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extractor.py, 3-stage fallback, garbage filtering, Nature cover page fix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Jhanvi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&amp; Storage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storage.py, SQLite and CSV backends, insert/get/get_all functions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Aayush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&amp; Benchmarking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search.py, 14 query functions, benchmarking, analysis notebook, citation network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2C5F8A" w:sz="4" w:space="4"/>
        </w:pBdr>
        <w:spacing w:before="240" w:after="10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6. Expected Output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On running the full pipeline against the 63-PDF corpus, the system is expected to produce: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 fully populated SQLite database (articles.db) and CSV flatfile (articles.csv) with 62 unique article records (1 duplicate correctly skipped)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Per-field article counts: biology 17, chemistry 15, mathematics 15, physics 15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Extraction flags identifying incomplete records: ~39 missing abstracts, ~34 missing authors, ~18 missing titles, ~4 uncertain years - predominantly from reference-list-only PDFs which contain no extractable content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 searchable library supporting 14 query types (by author, title, keyword, year, field, journal, full-text) with sub-2ms average query time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 citation network graph linking papers by reference, enriched with Semantic Scholar citation counts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An analysis notebook comparing SQLite vs CSV performance, metadata-only vs full-text search speed, and flag distribution across domains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00"/>
      <w:outlineLvl w:val="0"/>
    </w:pPr>
    <w:rPr>
      <w:rFonts w:ascii="Arial" w:cs="Arial" w:eastAsia="Arial" w:hAnsi="Arial"/>
      <w:b/>
      <w:bCs/>
      <w:color w:val="2C5F8A"/>
      <w:sz w:val="26"/>
      <w:szCs w:val="26"/>
    </w:rPr>
  </w:style>
  <w:style w:type="paragraph" w:styleId="Heading2">
    <w:name w:val="Heading 2"/>
    <w:basedOn w:val="Normal"/>
    <w:next w:val="Normal"/>
    <w:qFormat/>
    <w:pPr>
      <w:spacing w:before="160" w:after="8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2026-03-19T13:16:19.754Z</dcterms:created>
  <dcterms:modified xsi:type="dcterms:W3CDTF">2026-03-19T13:16:19.755Z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