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Georgia" w:cs="Georgia" w:eastAsia="Georgia" w:hAnsi="Georgia"/>
          <w:b/>
          <w:bCs/>
          <w:color w:val="1a2e4a"/>
          <w:spacing w:val="80"/>
          <w:sz w:val="22"/>
          <w:szCs w:val="22"/>
        </w:rPr>
        <w:t xml:space="preserve">NATIONAL LEGAL OBSERVATORY</w:t>
      </w:r>
    </w:p>
    <w:p>
      <w:pPr>
        <w:spacing w:after="60" w:before="0"/>
        <w:jc w:val="center"/>
      </w:pPr>
      <w:r>
        <w:rPr>
          <w:rFonts w:ascii="Georgia" w:cs="Georgia" w:eastAsia="Georgia" w:hAnsi="Georgia"/>
          <w:i/>
          <w:iCs/>
          <w:color w:val="888888"/>
          <w:sz w:val="18"/>
          <w:szCs w:val="18"/>
        </w:rPr>
        <w:t xml:space="preserve">Independent Legal Research  |  India</w:t>
      </w:r>
    </w:p>
    <w:p>
      <w:pPr>
        <w:pBdr>
          <w:bottom w:val="single" w:color="c9a84c" w:sz="6" w:space="1"/>
        </w:pBdr>
        <w:spacing w:after="400" w:before="0"/>
        <w:jc w:val="center"/>
      </w:pPr>
      <w:r>
        <w:rPr>
          <w:rFonts w:ascii="Georgia" w:cs="Georgia" w:eastAsia="Georgia" w:hAnsi="Georgia"/>
          <w:color w:val="888888"/>
          <w:sz w:val="18"/>
          <w:szCs w:val="18"/>
        </w:rPr>
        <w:t xml:space="preserve">Founding Editorial  |  June 2026</w:t>
      </w:r>
    </w:p>
    <w:p>
      <w:pPr>
        <w:pStyle w:val="Heading1"/>
        <w:spacing w:after="120" w:before="400"/>
        <w:jc w:val="left"/>
      </w:pPr>
      <w:r>
        <w:rPr>
          <w:rFonts w:ascii="Georgia" w:cs="Georgia" w:eastAsia="Georgia" w:hAnsi="Georgia"/>
          <w:b/>
          <w:bCs/>
          <w:color w:val="1a2e4a"/>
          <w:sz w:val="36"/>
          <w:szCs w:val="36"/>
        </w:rPr>
        <w:t xml:space="preserve">Why India Needs Independent Legal Observation</w:t>
      </w:r>
    </w:p>
    <w:p>
      <w:pPr>
        <w:pStyle w:val="Heading2"/>
        <w:spacing w:after="360" w:before="0"/>
      </w:pPr>
      <w:r>
        <w:rPr>
          <w:rFonts w:ascii="Georgia" w:cs="Georgia" w:eastAsia="Georgia" w:hAnsi="Georgia"/>
          <w:i/>
          <w:iCs/>
          <w:color w:val="555555"/>
          <w:sz w:val="24"/>
          <w:szCs w:val="24"/>
        </w:rPr>
        <w:t xml:space="preserve">A Founding Note — National Legal Observatory</w:t>
      </w:r>
    </w:p>
    <w:p>
      <w:pPr>
        <w:spacing w:after="480" w:before="0"/>
      </w:pPr>
      <w:r>
        <w:rPr>
          <w:rFonts w:ascii="Georgia" w:cs="Georgia" w:eastAsia="Georgia" w:hAnsi="Georgia"/>
          <w:i/>
          <w:iCs/>
          <w:color w:val="1a2e4a"/>
          <w:sz w:val="22"/>
          <w:szCs w:val="22"/>
        </w:rPr>
        <w:t xml:space="preserve">By Bhoomija Khanna, Founder &amp; Research Director</w:t>
      </w:r>
    </w:p>
    <w:p>
      <w:pPr>
        <w:spacing w:after="280" w:before="0"/>
      </w:pPr>
      <w:r>
        <w:rPr>
          <w:rFonts w:ascii="Georgia" w:cs="Georgia" w:eastAsia="Georgia" w:hAnsi="Georgia"/>
          <w:sz w:val="24"/>
          <w:szCs w:val="24"/>
        </w:rPr>
        <w:t xml:space="preserve">There is a particular kind of frustration that comes with studying law in India today.</w:t>
      </w:r>
    </w:p>
    <w:p>
      <w:pPr>
        <w:spacing w:after="280" w:before="0"/>
      </w:pPr>
      <w:r>
        <w:rPr>
          <w:rFonts w:ascii="Georgia" w:cs="Georgia" w:eastAsia="Georgia" w:hAnsi="Georgia"/>
          <w:sz w:val="24"/>
          <w:szCs w:val="24"/>
        </w:rPr>
        <w:t xml:space="preserve">The Supreme Court delivers a judgment that reshapes the constitutional landscape and within forty-eight hours it is buried under political noise, reduced to a headline, or misrepresented entirely. Parliament passes legislation of real consequence, and the public discourse that follows is more partisan than legal. Policy shifts that carry serious implications for rights, for contracts, for civil liberties come and go, noted briefly and analysed rarely.</w:t>
      </w:r>
    </w:p>
    <w:p>
      <w:pPr>
        <w:spacing w:after="280" w:before="0"/>
      </w:pPr>
      <w:r>
        <w:rPr>
          <w:rFonts w:ascii="Georgia" w:cs="Georgia" w:eastAsia="Georgia" w:hAnsi="Georgia"/>
          <w:sz w:val="24"/>
          <w:szCs w:val="24"/>
        </w:rPr>
        <w:t xml:space="preserve">This is not a critique of journalism. It is an observation about a gap.</w:t>
      </w:r>
    </w:p>
    <w:p>
      <w:pPr>
        <w:spacing w:after="280" w:before="0"/>
      </w:pPr>
      <w:r>
        <w:rPr>
          <w:rFonts w:ascii="Georgia" w:cs="Georgia" w:eastAsia="Georgia" w:hAnsi="Georgia"/>
          <w:sz w:val="24"/>
          <w:szCs w:val="24"/>
        </w:rPr>
        <w:t xml:space="preserve">Legal developments in India move fast. The institutions that produce them are prolific. What is scarce is not information. What is scarce is sustained, independent, structured analysis of that information, produced without an agenda and accessible without a paywall.</w:t>
      </w:r>
    </w:p>
    <w:p>
      <w:pPr>
        <w:spacing w:after="480" w:before="0"/>
      </w:pPr>
      <w:r>
        <w:rPr>
          <w:rFonts w:ascii="Georgia" w:cs="Georgia" w:eastAsia="Georgia" w:hAnsi="Georgia"/>
          <w:sz w:val="24"/>
          <w:szCs w:val="24"/>
        </w:rPr>
        <w:t xml:space="preserve">The National Legal Observatory is my attempt to address that gap.</w:t>
      </w:r>
    </w:p>
    <w:p>
      <w:pPr>
        <w:pBdr>
          <w:bottom w:val="single" w:color="1a2e4a" w:sz="4" w:space="1"/>
        </w:pBdr>
        <w:spacing w:after="200" w:before="200"/>
      </w:pPr>
    </w:p>
    <w:p>
      <w:pPr>
        <w:spacing w:after="280" w:before="480"/>
      </w:pPr>
      <w:r>
        <w:rPr>
          <w:rFonts w:ascii="Georgia" w:cs="Georgia" w:eastAsia="Georgia" w:hAnsi="Georgia"/>
          <w:sz w:val="24"/>
          <w:szCs w:val="24"/>
        </w:rPr>
        <w:t xml:space="preserve">NLO is an independent legal research platform. Every month, it will publish a structured review tracking constitutional developments, landmark judgments, legislative changes, and shifts in public policy across India. The work will be primary-source driven, built from court records, legislative texts, and official notifications, and written for readers who want to understand what the law is actually doing.</w:t>
      </w:r>
    </w:p>
    <w:p>
      <w:pPr>
        <w:spacing w:after="280" w:before="0"/>
      </w:pPr>
      <w:r>
        <w:rPr>
          <w:rFonts w:ascii="Georgia" w:cs="Georgia" w:eastAsia="Georgia" w:hAnsi="Georgia"/>
          <w:sz w:val="24"/>
          <w:szCs w:val="24"/>
        </w:rPr>
        <w:t xml:space="preserve">The scope is intentionally broad. Indian law is not one conversation. It is dozens of conversations happening simultaneously, across constitutional benches and district courts, inside parliamentary committees and regulatory bodies, through executive orders and judicial dissents. A platform that claims to observe the legal landscape of this country cannot afford to be narrow. NLO will not be.</w:t>
      </w:r>
    </w:p>
    <w:p>
      <w:pPr>
        <w:spacing w:after="480" w:before="0"/>
      </w:pPr>
      <w:r>
        <w:rPr>
          <w:rFonts w:ascii="Georgia" w:cs="Georgia" w:eastAsia="Georgia" w:hAnsi="Georgia"/>
          <w:sz w:val="24"/>
          <w:szCs w:val="24"/>
        </w:rPr>
        <w:t xml:space="preserve">Constitutional law, civil litigation, criminal justice, commercial and contract law, environmental law, labour law, family law, technology and policy — these are all territories this platform intends to cover, with the same rigour and the same commitment to primary sources.</w:t>
      </w:r>
    </w:p>
    <w:p>
      <w:pPr>
        <w:pBdr>
          <w:bottom w:val="single" w:color="1a2e4a" w:sz="4" w:space="1"/>
        </w:pBdr>
        <w:spacing w:after="200" w:before="200"/>
      </w:pPr>
    </w:p>
    <w:p>
      <w:pPr>
        <w:spacing w:after="280" w:before="480"/>
      </w:pPr>
      <w:r>
        <w:rPr>
          <w:rFonts w:ascii="Georgia" w:cs="Georgia" w:eastAsia="Georgia" w:hAnsi="Georgia"/>
          <w:sz w:val="24"/>
          <w:szCs w:val="24"/>
        </w:rPr>
        <w:t xml:space="preserve">I am a second-year law student. I want to be straightforward about that.</w:t>
      </w:r>
    </w:p>
    <w:p>
      <w:pPr>
        <w:spacing w:after="280" w:before="0"/>
      </w:pPr>
      <w:r>
        <w:rPr>
          <w:rFonts w:ascii="Georgia" w:cs="Georgia" w:eastAsia="Georgia" w:hAnsi="Georgia"/>
          <w:sz w:val="24"/>
          <w:szCs w:val="24"/>
        </w:rPr>
        <w:t xml:space="preserve">I do not write from the authority of a decade at the bar or a tenured academic position. What I bring is a deep investment in legal research, a commitment to rigorous analysis, and the belief that independent observation has value precisely because it is independent, not beholden to a firm, a party, or an institution.</w:t>
      </w:r>
    </w:p>
    <w:p>
      <w:pPr>
        <w:spacing w:after="480" w:before="0"/>
      </w:pPr>
      <w:r>
        <w:rPr>
          <w:rFonts w:ascii="Georgia" w:cs="Georgia" w:eastAsia="Georgia" w:hAnsi="Georgia"/>
          <w:sz w:val="24"/>
          <w:szCs w:val="24"/>
        </w:rPr>
        <w:t xml:space="preserve">The legal profession trains us to read carefully, argue precisely, and remain accountable to the text. That is the standard NLO will hold itself to.</w:t>
      </w:r>
    </w:p>
    <w:p>
      <w:pPr>
        <w:pBdr>
          <w:bottom w:val="single" w:color="1a2e4a" w:sz="4" w:space="1"/>
        </w:pBdr>
        <w:spacing w:after="200" w:before="200"/>
      </w:pPr>
    </w:p>
    <w:p>
      <w:pPr>
        <w:spacing w:after="280" w:before="480"/>
      </w:pPr>
      <w:r>
        <w:rPr>
          <w:rFonts w:ascii="Georgia" w:cs="Georgia" w:eastAsia="Georgia" w:hAnsi="Georgia"/>
          <w:sz w:val="24"/>
          <w:szCs w:val="24"/>
        </w:rPr>
        <w:t xml:space="preserve">The first report will be published at the end of June 2026. Reports will follow at the close of every month thereafter.</w:t>
      </w:r>
    </w:p>
    <w:p>
      <w:pPr>
        <w:spacing w:after="600" w:before="0"/>
      </w:pPr>
      <w:r>
        <w:rPr>
          <w:rFonts w:ascii="Georgia" w:cs="Georgia" w:eastAsia="Georgia" w:hAnsi="Georgia"/>
          <w:sz w:val="24"/>
          <w:szCs w:val="24"/>
        </w:rPr>
        <w:t xml:space="preserve">If you are a student, a practitioner, an academic, or simply someone who believes that legal literacy matters, I invite you to read, to engage, and to hold this platform to the standards it sets for itself.</w:t>
      </w:r>
    </w:p>
    <w:p>
      <w:pPr>
        <w:pBdr>
          <w:bottom w:val="single" w:color="1a2e4a" w:sz="4" w:space="1"/>
        </w:pBdr>
        <w:spacing w:after="200" w:before="200"/>
      </w:pPr>
    </w:p>
    <w:p>
      <w:pPr>
        <w:spacing w:after="80" w:before="400"/>
      </w:pPr>
      <w:r>
        <w:rPr>
          <w:rFonts w:ascii="Georgia" w:cs="Georgia" w:eastAsia="Georgia" w:hAnsi="Georgia"/>
          <w:b/>
          <w:bCs/>
          <w:color w:val="1a2e4a"/>
          <w:sz w:val="24"/>
          <w:szCs w:val="24"/>
        </w:rPr>
        <w:t xml:space="preserve">Bhoomija Khanna</w:t>
      </w:r>
    </w:p>
    <w:p>
      <w:pPr>
        <w:spacing w:after="80" w:before="0"/>
      </w:pPr>
      <w:r>
        <w:rPr>
          <w:rFonts w:ascii="Georgia" w:cs="Georgia" w:eastAsia="Georgia" w:hAnsi="Georgia"/>
          <w:i/>
          <w:iCs/>
          <w:color w:val="444444"/>
          <w:sz w:val="22"/>
          <w:szCs w:val="22"/>
        </w:rPr>
        <w:t xml:space="preserve">Founder &amp; Research Director, National Legal Observatory</w:t>
      </w:r>
    </w:p>
    <w:p>
      <w:pPr>
        <w:spacing w:after="80" w:before="0"/>
      </w:pPr>
      <w:r>
        <w:rPr>
          <w:rFonts w:ascii="Georgia" w:cs="Georgia" w:eastAsia="Georgia" w:hAnsi="Georgia"/>
          <w:i/>
          <w:iCs/>
          <w:color w:val="444444"/>
          <w:sz w:val="22"/>
          <w:szCs w:val="22"/>
        </w:rPr>
        <w:t xml:space="preserve">B.A. LL.B. (Hons.), Alliance University, Bangalore</w:t>
      </w:r>
    </w:p>
    <w:p>
      <w:pPr>
        <w:spacing w:after="0" w:before="0"/>
      </w:pPr>
      <w:r>
        <w:rPr>
          <w:rFonts w:ascii="Georgia" w:cs="Georgia" w:eastAsia="Georgia" w:hAnsi="Georgia"/>
          <w:i/>
          <w:iCs/>
          <w:color w:val="444444"/>
          <w:sz w:val="22"/>
          <w:szCs w:val="22"/>
        </w:rPr>
        <w:t xml:space="preserve">June 2026</w:t>
      </w:r>
    </w:p>
    <w:sectPr>
      <w:pgSz w:w="11906" w:h="16838"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Georgia" w:cs="Georgia" w:eastAsia="Georgia" w:hAnsi="Georgia"/>
      <w:b/>
      <w:bCs/>
      <w:color w:val="1a2e4a"/>
      <w:sz w:val="36"/>
      <w:szCs w:val="36"/>
    </w:rPr>
  </w:style>
  <w:style w:type="paragraph" w:styleId="Heading2">
    <w:name w:val="Heading 2"/>
    <w:basedOn w:val="Normal"/>
    <w:next w:val="Normal"/>
    <w:qFormat/>
    <w:pPr>
      <w:spacing w:after="200" w:before="160"/>
      <w:outlineLvl w:val="1"/>
    </w:pPr>
    <w:rPr>
      <w:rFonts w:ascii="Georgia" w:cs="Georgia" w:eastAsia="Georgia" w:hAnsi="Georgia"/>
      <w:b w:val="false"/>
      <w:bCs w:val="false"/>
      <w:i/>
      <w:iCs/>
      <w:color w:val="1a2e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2026-06-07T14:09:56.805Z</dcterms:created>
  <dcterms:modified xsi:type="dcterms:W3CDTF">2026-06-07T14:09:56.805Z</dcterms:modified>
</cp:coreProperties>
</file>

<file path=docProps/custom.xml><?xml version="1.0" encoding="utf-8"?>
<Properties xmlns="http://schemas.openxmlformats.org/officeDocument/2006/custom-properties" xmlns:vt="http://schemas.openxmlformats.org/officeDocument/2006/docPropsVTypes"/>
</file>