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BERT vs FinBERT — Comparison Report</w:t>
      </w:r>
    </w:p>
    <w:p>
      <w:pPr>
        <w:spacing w:after="160"/>
      </w:pPr>
      <w:r>
        <w:rPr>
          <w:i/>
          <w:iCs/>
          <w:color w:val="555555"/>
        </w:rPr>
        <w:t xml:space="preserve">Financial Sentiment Classification using FinBERT — optional experiment comparing domain-adapted FinBERT against generic BERT-base on the same fine-tuning task.</w:t>
      </w:r>
    </w:p>
    <w:p>
      <w:pPr>
        <w:pStyle w:val="Heading1"/>
        <w:spacing w:after="150" w:before="300"/>
      </w:pPr>
      <w:r>
        <w:t xml:space="preserve">1. Objective</w:t>
      </w:r>
    </w:p>
    <w:p>
      <w:pPr>
        <w:spacing w:after="160"/>
      </w:pPr>
      <w:r>
        <w:t xml:space="preserve">To test whether domain-specific pretraining (FinBERT) provides a measurable benefit over generic BERT-base on financial sentiment classification, both models were fine-tuned under an identical setup — same data splits, same hyperparameters, same training procedure — so that any difference in results is attributable to the pretrained checkpoint rather than experimental inconsistencies.</w:t>
      </w:r>
    </w:p>
    <w:p>
      <w:pPr>
        <w:pStyle w:val="Heading1"/>
        <w:spacing w:after="150" w:before="300"/>
      </w:pPr>
      <w:r>
        <w:t xml:space="preserve">2. Experimental Setup</w:t>
      </w:r>
    </w:p>
    <w:p>
      <w:pPr>
        <w:pStyle w:val="ListParagraph"/>
        <w:numPr>
          <w:ilvl w:val="0"/>
          <w:numId w:val="1"/>
        </w:numPr>
        <w:spacing w:after="80"/>
      </w:pPr>
      <w:r>
        <w:t xml:space="preserve">Dataset: Financial PhraseBank (sentences_50agree), same cleaned and stratified 80/10/10 train/val/test split used throughout the project (3868 / 484 / 484 sentences).</w:t>
      </w:r>
    </w:p>
    <w:p>
      <w:pPr>
        <w:pStyle w:val="ListParagraph"/>
        <w:numPr>
          <w:ilvl w:val="0"/>
          <w:numId w:val="1"/>
        </w:numPr>
        <w:spacing w:after="80"/>
      </w:pPr>
      <w:r>
        <w:t xml:space="preserve">Checkpoints compared: ProsusAI/finbert (FinBERT) vs. bert-base-uncased (generic BERT), both uncased WordPiece tokenizers.</w:t>
      </w:r>
    </w:p>
    <w:p>
      <w:pPr>
        <w:pStyle w:val="ListParagraph"/>
        <w:numPr>
          <w:ilvl w:val="0"/>
          <w:numId w:val="1"/>
        </w:numPr>
        <w:spacing w:after="80"/>
      </w:pPr>
      <w:r>
        <w:t xml:space="preserve">Hyperparameters (identical for both): learning rate 2e-5, batch size 16, up to 4 epochs with early stopping (patience=2, monitored on validation macro F1), max_length=128, 10% linear warmup, weight decay 0.01, seed=42.</w:t>
      </w:r>
    </w:p>
    <w:p>
      <w:pPr>
        <w:pStyle w:val="ListParagraph"/>
        <w:numPr>
          <w:ilvl w:val="0"/>
          <w:numId w:val="1"/>
        </w:numPr>
        <w:spacing w:after="80"/>
      </w:pPr>
      <w:r>
        <w:t xml:space="preserve">Both runs performed on the same Google Colab T4 GPU session.</w:t>
      </w:r>
    </w:p>
    <w:p>
      <w:pPr>
        <w:pStyle w:val="Heading1"/>
        <w:spacing w:after="150" w:before="300"/>
      </w:pPr>
      <w:r>
        <w:t xml:space="preserve">3. Results</w:t>
      </w:r>
    </w:p>
    <w:p>
      <w:pPr>
        <w:pStyle w:val="Heading2"/>
        <w:spacing w:after="120" w:before="240"/>
      </w:pPr>
      <w:r>
        <w:t xml:space="preserve">3.1 Overall metrics (test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1980"/>
        <w:gridCol w:w="1980"/>
      </w:tblGrid>
      <w:tr>
        <w:tc>
          <w:tcPr>
            <w:tcW w:type="dxa" w:w="5400"/>
            <w:shd w:fill="D9E2F3" w:val="clear"/>
            <w:tcMar>
              <w:top w:type="dxa" w:w="100"/>
              <w:left w:type="dxa" w:w="120"/>
              <w:bottom w:type="dxa" w:w="100"/>
              <w:right w:type="dxa" w:w="120"/>
            </w:tcMar>
          </w:tcPr>
          <w:p>
            <w:r>
              <w:rPr>
                <w:b/>
                <w:bCs/>
              </w:rPr>
              <w:t xml:space="preserve">Model</w:t>
            </w:r>
          </w:p>
        </w:tc>
        <w:tc>
          <w:tcPr>
            <w:tcW w:type="dxa" w:w="1980"/>
            <w:shd w:fill="D9E2F3" w:val="clear"/>
            <w:tcMar>
              <w:top w:type="dxa" w:w="100"/>
              <w:left w:type="dxa" w:w="120"/>
              <w:bottom w:type="dxa" w:w="100"/>
              <w:right w:type="dxa" w:w="120"/>
            </w:tcMar>
          </w:tcPr>
          <w:p>
            <w:r>
              <w:rPr>
                <w:b/>
                <w:bCs/>
              </w:rPr>
              <w:t xml:space="preserve">Accuracy</w:t>
            </w:r>
          </w:p>
        </w:tc>
        <w:tc>
          <w:tcPr>
            <w:tcW w:type="dxa" w:w="1980"/>
            <w:shd w:fill="D9E2F3" w:val="clear"/>
            <w:tcMar>
              <w:top w:type="dxa" w:w="100"/>
              <w:left w:type="dxa" w:w="120"/>
              <w:bottom w:type="dxa" w:w="100"/>
              <w:right w:type="dxa" w:w="120"/>
            </w:tcMar>
          </w:tcPr>
          <w:p>
            <w:r>
              <w:rPr>
                <w:b/>
                <w:bCs/>
              </w:rPr>
              <w:t xml:space="preserve">Macro F1</w:t>
            </w:r>
          </w:p>
        </w:tc>
      </w:tr>
      <w:tr>
        <w:tc>
          <w:tcPr>
            <w:tcW w:type="dxa" w:w="5400"/>
            <w:tcMar>
              <w:top w:type="dxa" w:w="100"/>
              <w:left w:type="dxa" w:w="120"/>
              <w:bottom w:type="dxa" w:w="100"/>
              <w:right w:type="dxa" w:w="120"/>
            </w:tcMar>
          </w:tcPr>
          <w:p>
            <w:r>
              <w:rPr>
                <w:b w:val="false"/>
                <w:bCs w:val="false"/>
              </w:rPr>
              <w:t xml:space="preserve">Baseline (TF-IDF + Logistic Regression)</w:t>
            </w:r>
          </w:p>
        </w:tc>
        <w:tc>
          <w:tcPr>
            <w:tcW w:type="dxa" w:w="1980"/>
            <w:tcMar>
              <w:top w:type="dxa" w:w="100"/>
              <w:left w:type="dxa" w:w="120"/>
              <w:bottom w:type="dxa" w:w="100"/>
              <w:right w:type="dxa" w:w="120"/>
            </w:tcMar>
          </w:tcPr>
          <w:p>
            <w:r>
              <w:rPr>
                <w:b w:val="false"/>
                <w:bCs w:val="false"/>
              </w:rPr>
              <w:t xml:space="preserve">78.3%</w:t>
            </w:r>
          </w:p>
        </w:tc>
        <w:tc>
          <w:tcPr>
            <w:tcW w:type="dxa" w:w="1980"/>
            <w:tcMar>
              <w:top w:type="dxa" w:w="100"/>
              <w:left w:type="dxa" w:w="120"/>
              <w:bottom w:type="dxa" w:w="100"/>
              <w:right w:type="dxa" w:w="120"/>
            </w:tcMar>
          </w:tcPr>
          <w:p>
            <w:r>
              <w:rPr>
                <w:b w:val="false"/>
                <w:bCs w:val="false"/>
              </w:rPr>
              <w:t xml:space="preserve">75.4%</w:t>
            </w:r>
          </w:p>
        </w:tc>
      </w:tr>
      <w:tr>
        <w:tc>
          <w:tcPr>
            <w:tcW w:type="dxa" w:w="5400"/>
            <w:tcMar>
              <w:top w:type="dxa" w:w="100"/>
              <w:left w:type="dxa" w:w="120"/>
              <w:bottom w:type="dxa" w:w="100"/>
              <w:right w:type="dxa" w:w="120"/>
            </w:tcMar>
          </w:tcPr>
          <w:p>
            <w:r>
              <w:rPr>
                <w:b w:val="false"/>
                <w:bCs w:val="false"/>
              </w:rPr>
              <w:t xml:space="preserve">BERT-base (fine-tuned)</w:t>
            </w:r>
          </w:p>
        </w:tc>
        <w:tc>
          <w:tcPr>
            <w:tcW w:type="dxa" w:w="1980"/>
            <w:tcMar>
              <w:top w:type="dxa" w:w="100"/>
              <w:left w:type="dxa" w:w="120"/>
              <w:bottom w:type="dxa" w:w="100"/>
              <w:right w:type="dxa" w:w="120"/>
            </w:tcMar>
          </w:tcPr>
          <w:p>
            <w:r>
              <w:rPr>
                <w:b w:val="false"/>
                <w:bCs w:val="false"/>
              </w:rPr>
              <w:t xml:space="preserve">87.0%</w:t>
            </w:r>
          </w:p>
        </w:tc>
        <w:tc>
          <w:tcPr>
            <w:tcW w:type="dxa" w:w="1980"/>
            <w:tcMar>
              <w:top w:type="dxa" w:w="100"/>
              <w:left w:type="dxa" w:w="120"/>
              <w:bottom w:type="dxa" w:w="100"/>
              <w:right w:type="dxa" w:w="120"/>
            </w:tcMar>
          </w:tcPr>
          <w:p>
            <w:r>
              <w:rPr>
                <w:b w:val="false"/>
                <w:bCs w:val="false"/>
              </w:rPr>
              <w:t xml:space="preserve">85.5%</w:t>
            </w:r>
          </w:p>
        </w:tc>
      </w:tr>
      <w:tr>
        <w:tc>
          <w:tcPr>
            <w:tcW w:type="dxa" w:w="5400"/>
            <w:tcMar>
              <w:top w:type="dxa" w:w="100"/>
              <w:left w:type="dxa" w:w="120"/>
              <w:bottom w:type="dxa" w:w="100"/>
              <w:right w:type="dxa" w:w="120"/>
            </w:tcMar>
          </w:tcPr>
          <w:p>
            <w:r>
              <w:rPr>
                <w:b w:val="false"/>
                <w:bCs w:val="false"/>
              </w:rPr>
              <w:t xml:space="preserve">FinBERT (fine-tuned)</w:t>
            </w:r>
          </w:p>
        </w:tc>
        <w:tc>
          <w:tcPr>
            <w:tcW w:type="dxa" w:w="1980"/>
            <w:tcMar>
              <w:top w:type="dxa" w:w="100"/>
              <w:left w:type="dxa" w:w="120"/>
              <w:bottom w:type="dxa" w:w="100"/>
              <w:right w:type="dxa" w:w="120"/>
            </w:tcMar>
          </w:tcPr>
          <w:p>
            <w:r>
              <w:rPr>
                <w:b w:val="false"/>
                <w:bCs w:val="false"/>
              </w:rPr>
              <w:t xml:space="preserve">89.3%</w:t>
            </w:r>
          </w:p>
        </w:tc>
        <w:tc>
          <w:tcPr>
            <w:tcW w:type="dxa" w:w="1980"/>
            <w:tcMar>
              <w:top w:type="dxa" w:w="100"/>
              <w:left w:type="dxa" w:w="120"/>
              <w:bottom w:type="dxa" w:w="100"/>
              <w:right w:type="dxa" w:w="120"/>
            </w:tcMar>
          </w:tcPr>
          <w:p>
            <w:r>
              <w:rPr>
                <w:b w:val="false"/>
                <w:bCs w:val="false"/>
              </w:rPr>
              <w:t xml:space="preserve">88.0%</w:t>
            </w:r>
          </w:p>
        </w:tc>
      </w:tr>
    </w:tbl>
    <w:p>
      <w:pPr>
        <w:spacing w:after="200"/>
      </w:pPr>
    </w:p>
    <w:p>
      <w:pPr>
        <w:pStyle w:val="Heading2"/>
        <w:spacing w:after="120" w:before="240"/>
      </w:pPr>
      <w:r>
        <w:t xml:space="preserve">3.2 Per-class recall — BERT vs FinBERT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220"/>
        <w:gridCol w:w="2220"/>
        <w:gridCol w:w="2220"/>
      </w:tblGrid>
      <w:tr>
        <w:tc>
          <w:tcPr>
            <w:tcW w:type="dxa" w:w="2700"/>
            <w:shd w:fill="D9E2F3" w:val="clear"/>
            <w:tcMar>
              <w:top w:type="dxa" w:w="100"/>
              <w:left w:type="dxa" w:w="120"/>
              <w:bottom w:type="dxa" w:w="100"/>
              <w:right w:type="dxa" w:w="120"/>
            </w:tcMar>
          </w:tcPr>
          <w:p>
            <w:r>
              <w:rPr>
                <w:b/>
                <w:bCs/>
              </w:rPr>
              <w:t xml:space="preserve">Class</w:t>
            </w:r>
          </w:p>
        </w:tc>
        <w:tc>
          <w:tcPr>
            <w:tcW w:type="dxa" w:w="2220"/>
            <w:shd w:fill="D9E2F3" w:val="clear"/>
            <w:tcMar>
              <w:top w:type="dxa" w:w="100"/>
              <w:left w:type="dxa" w:w="120"/>
              <w:bottom w:type="dxa" w:w="100"/>
              <w:right w:type="dxa" w:w="120"/>
            </w:tcMar>
          </w:tcPr>
          <w:p>
            <w:r>
              <w:rPr>
                <w:b/>
                <w:bCs/>
              </w:rPr>
              <w:t xml:space="preserve">BERT recall</w:t>
            </w:r>
          </w:p>
        </w:tc>
        <w:tc>
          <w:tcPr>
            <w:tcW w:type="dxa" w:w="2220"/>
            <w:shd w:fill="D9E2F3" w:val="clear"/>
            <w:tcMar>
              <w:top w:type="dxa" w:w="100"/>
              <w:left w:type="dxa" w:w="120"/>
              <w:bottom w:type="dxa" w:w="100"/>
              <w:right w:type="dxa" w:w="120"/>
            </w:tcMar>
          </w:tcPr>
          <w:p>
            <w:r>
              <w:rPr>
                <w:b/>
                <w:bCs/>
              </w:rPr>
              <w:t xml:space="preserve">FinBERT recall</w:t>
            </w:r>
          </w:p>
        </w:tc>
        <w:tc>
          <w:tcPr>
            <w:tcW w:type="dxa" w:w="2220"/>
            <w:shd w:fill="D9E2F3" w:val="clear"/>
            <w:tcMar>
              <w:top w:type="dxa" w:w="100"/>
              <w:left w:type="dxa" w:w="120"/>
              <w:bottom w:type="dxa" w:w="100"/>
              <w:right w:type="dxa" w:w="120"/>
            </w:tcMar>
          </w:tcPr>
          <w:p>
            <w:r>
              <w:rPr>
                <w:b/>
                <w:bCs/>
              </w:rPr>
              <w:t xml:space="preserve">Gap</w:t>
            </w:r>
          </w:p>
        </w:tc>
      </w:tr>
      <w:tr>
        <w:tc>
          <w:tcPr>
            <w:tcW w:type="dxa" w:w="2700"/>
            <w:tcMar>
              <w:top w:type="dxa" w:w="100"/>
              <w:left w:type="dxa" w:w="120"/>
              <w:bottom w:type="dxa" w:w="100"/>
              <w:right w:type="dxa" w:w="120"/>
            </w:tcMar>
          </w:tcPr>
          <w:p>
            <w:r>
              <w:rPr>
                <w:b w:val="false"/>
                <w:bCs w:val="false"/>
              </w:rPr>
              <w:t xml:space="preserve">Negative</w:t>
            </w:r>
          </w:p>
        </w:tc>
        <w:tc>
          <w:tcPr>
            <w:tcW w:type="dxa" w:w="2220"/>
            <w:tcMar>
              <w:top w:type="dxa" w:w="100"/>
              <w:left w:type="dxa" w:w="120"/>
              <w:bottom w:type="dxa" w:w="100"/>
              <w:right w:type="dxa" w:w="120"/>
            </w:tcMar>
          </w:tcPr>
          <w:p>
            <w:r>
              <w:rPr>
                <w:b w:val="false"/>
                <w:bCs w:val="false"/>
              </w:rPr>
              <w:t xml:space="preserve">85.2%</w:t>
            </w:r>
          </w:p>
        </w:tc>
        <w:tc>
          <w:tcPr>
            <w:tcW w:type="dxa" w:w="2220"/>
            <w:tcMar>
              <w:top w:type="dxa" w:w="100"/>
              <w:left w:type="dxa" w:w="120"/>
              <w:bottom w:type="dxa" w:w="100"/>
              <w:right w:type="dxa" w:w="120"/>
            </w:tcMar>
          </w:tcPr>
          <w:p>
            <w:r>
              <w:rPr>
                <w:b w:val="false"/>
                <w:bCs w:val="false"/>
              </w:rPr>
              <w:t xml:space="preserve">88.5%</w:t>
            </w:r>
          </w:p>
        </w:tc>
        <w:tc>
          <w:tcPr>
            <w:tcW w:type="dxa" w:w="2220"/>
            <w:tcMar>
              <w:top w:type="dxa" w:w="100"/>
              <w:left w:type="dxa" w:w="120"/>
              <w:bottom w:type="dxa" w:w="100"/>
              <w:right w:type="dxa" w:w="120"/>
            </w:tcMar>
          </w:tcPr>
          <w:p>
            <w:r>
              <w:rPr>
                <w:b w:val="false"/>
                <w:bCs w:val="false"/>
              </w:rPr>
              <w:t xml:space="preserve">+3.3 pts</w:t>
            </w:r>
          </w:p>
        </w:tc>
      </w:tr>
      <w:tr>
        <w:tc>
          <w:tcPr>
            <w:tcW w:type="dxa" w:w="2700"/>
            <w:tcMar>
              <w:top w:type="dxa" w:w="100"/>
              <w:left w:type="dxa" w:w="120"/>
              <w:bottom w:type="dxa" w:w="100"/>
              <w:right w:type="dxa" w:w="120"/>
            </w:tcMar>
          </w:tcPr>
          <w:p>
            <w:r>
              <w:rPr>
                <w:b w:val="false"/>
                <w:bCs w:val="false"/>
              </w:rPr>
              <w:t xml:space="preserve">Neutral</w:t>
            </w:r>
          </w:p>
        </w:tc>
        <w:tc>
          <w:tcPr>
            <w:tcW w:type="dxa" w:w="2220"/>
            <w:tcMar>
              <w:top w:type="dxa" w:w="100"/>
              <w:left w:type="dxa" w:w="120"/>
              <w:bottom w:type="dxa" w:w="100"/>
              <w:right w:type="dxa" w:w="120"/>
            </w:tcMar>
          </w:tcPr>
          <w:p>
            <w:r>
              <w:rPr>
                <w:b w:val="false"/>
                <w:bCs w:val="false"/>
              </w:rPr>
              <w:t xml:space="preserve">90.6%</w:t>
            </w:r>
          </w:p>
        </w:tc>
        <w:tc>
          <w:tcPr>
            <w:tcW w:type="dxa" w:w="2220"/>
            <w:tcMar>
              <w:top w:type="dxa" w:w="100"/>
              <w:left w:type="dxa" w:w="120"/>
              <w:bottom w:type="dxa" w:w="100"/>
              <w:right w:type="dxa" w:w="120"/>
            </w:tcMar>
          </w:tcPr>
          <w:p>
            <w:r>
              <w:rPr>
                <w:b w:val="false"/>
                <w:bCs w:val="false"/>
              </w:rPr>
              <w:t xml:space="preserve">92.3%</w:t>
            </w:r>
          </w:p>
        </w:tc>
        <w:tc>
          <w:tcPr>
            <w:tcW w:type="dxa" w:w="2220"/>
            <w:tcMar>
              <w:top w:type="dxa" w:w="100"/>
              <w:left w:type="dxa" w:w="120"/>
              <w:bottom w:type="dxa" w:w="100"/>
              <w:right w:type="dxa" w:w="120"/>
            </w:tcMar>
          </w:tcPr>
          <w:p>
            <w:r>
              <w:rPr>
                <w:b w:val="false"/>
                <w:bCs w:val="false"/>
              </w:rPr>
              <w:t xml:space="preserve">+1.7 pts</w:t>
            </w:r>
          </w:p>
        </w:tc>
      </w:tr>
      <w:tr>
        <w:tc>
          <w:tcPr>
            <w:tcW w:type="dxa" w:w="2700"/>
            <w:tcMar>
              <w:top w:type="dxa" w:w="100"/>
              <w:left w:type="dxa" w:w="120"/>
              <w:bottom w:type="dxa" w:w="100"/>
              <w:right w:type="dxa" w:w="120"/>
            </w:tcMar>
          </w:tcPr>
          <w:p>
            <w:r>
              <w:rPr>
                <w:b w:val="false"/>
                <w:bCs w:val="false"/>
              </w:rPr>
              <w:t xml:space="preserve">Positive</w:t>
            </w:r>
          </w:p>
        </w:tc>
        <w:tc>
          <w:tcPr>
            <w:tcW w:type="dxa" w:w="2220"/>
            <w:tcMar>
              <w:top w:type="dxa" w:w="100"/>
              <w:left w:type="dxa" w:w="120"/>
              <w:bottom w:type="dxa" w:w="100"/>
              <w:right w:type="dxa" w:w="120"/>
            </w:tcMar>
          </w:tcPr>
          <w:p>
            <w:r>
              <w:rPr>
                <w:b w:val="false"/>
                <w:bCs w:val="false"/>
              </w:rPr>
              <w:t xml:space="preserve">80.1%</w:t>
            </w:r>
          </w:p>
        </w:tc>
        <w:tc>
          <w:tcPr>
            <w:tcW w:type="dxa" w:w="2220"/>
            <w:tcMar>
              <w:top w:type="dxa" w:w="100"/>
              <w:left w:type="dxa" w:w="120"/>
              <w:bottom w:type="dxa" w:w="100"/>
              <w:right w:type="dxa" w:w="120"/>
            </w:tcMar>
          </w:tcPr>
          <w:p>
            <w:r>
              <w:rPr>
                <w:b w:val="false"/>
                <w:bCs w:val="false"/>
              </w:rPr>
              <w:t xml:space="preserve">83.1%</w:t>
            </w:r>
          </w:p>
        </w:tc>
        <w:tc>
          <w:tcPr>
            <w:tcW w:type="dxa" w:w="2220"/>
            <w:tcMar>
              <w:top w:type="dxa" w:w="100"/>
              <w:left w:type="dxa" w:w="120"/>
              <w:bottom w:type="dxa" w:w="100"/>
              <w:right w:type="dxa" w:w="120"/>
            </w:tcMar>
          </w:tcPr>
          <w:p>
            <w:r>
              <w:rPr>
                <w:b w:val="false"/>
                <w:bCs w:val="false"/>
              </w:rPr>
              <w:t xml:space="preserve">+3.0 pts</w:t>
            </w:r>
          </w:p>
        </w:tc>
      </w:tr>
    </w:tbl>
    <w:p>
      <w:pPr>
        <w:spacing w:after="200"/>
      </w:pPr>
    </w:p>
    <w:p>
      <w:pPr>
        <w:spacing w:after="160"/>
      </w:pPr>
      <w:r>
        <w:t xml:space="preserve">FinBERT outperforms BERT-base on every class, not only on average — indicating the domain-pretraining benefit is consistent rather than driven by a single class.</w:t>
      </w:r>
    </w:p>
    <w:p>
      <w:pPr>
        <w:pStyle w:val="Heading2"/>
        <w:spacing w:after="120" w:before="240"/>
      </w:pPr>
      <w:r>
        <w:t xml:space="preserve">3.3 Confusion matrices (test set)</w:t>
      </w:r>
    </w:p>
    <w:tbl>
      <w:tblPr>
        <w:tblW w:type="dxa" w:w="9360"/>
        <w:tblBorders>
          <w:top w:val="none"/>
          <w:left w:val="none"/>
          <w:bottom w:val="none"/>
          <w:right w:val="none"/>
          <w:insideH w:val="none"/>
          <w:insideV w:val="none"/>
        </w:tblBorders>
      </w:tblPr>
      <w:tblGrid>
        <w:gridCol w:w="4680"/>
        <w:gridCol w:w="4680"/>
      </w:tblGrid>
      <w:tr>
        <w:tc>
          <w:tcPr>
            <w:tcW w:type="dxa" w:w="4680"/>
            <w:tcMar>
              <w:top w:type="dxa" w:w="60"/>
              <w:left w:type="dxa" w:w="60"/>
              <w:bottom w:type="dxa" w:w="60"/>
              <w:right w:type="dxa" w:w="60"/>
            </w:tcMar>
          </w:tcPr>
          <w:p>
            <w:pPr>
              <w:jc w:val="center"/>
            </w:pPr>
            <w:r>
              <w:drawing>
                <wp:inline distT="0" distB="0" distL="0" distR="0">
                  <wp:extent cx="2667000" cy="197174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667000" cy="1971741"/>
                          </a:xfrm>
                          <a:prstGeom prst="rect">
                            <a:avLst/>
                          </a:prstGeom>
                        </pic:spPr>
                      </pic:pic>
                    </a:graphicData>
                  </a:graphic>
                </wp:inline>
              </w:drawing>
            </w:r>
          </w:p>
        </w:tc>
        <w:tc>
          <w:tcPr>
            <w:tcW w:type="dxa" w:w="4680"/>
            <w:tcMar>
              <w:top w:type="dxa" w:w="60"/>
              <w:left w:type="dxa" w:w="60"/>
              <w:bottom w:type="dxa" w:w="60"/>
              <w:right w:type="dxa" w:w="60"/>
            </w:tcMar>
          </w:tcPr>
          <w:p>
            <w:pPr>
              <w:jc w:val="center"/>
            </w:pPr>
            <w:r>
              <w:drawing>
                <wp:inline distT="0" distB="0" distL="0" distR="0">
                  <wp:extent cx="2667000" cy="189191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667000" cy="1891914"/>
                          </a:xfrm>
                          <a:prstGeom prst="rect">
                            <a:avLst/>
                          </a:prstGeom>
                        </pic:spPr>
                      </pic:pic>
                    </a:graphicData>
                  </a:graphic>
                </wp:inline>
              </w:drawing>
            </w:r>
          </w:p>
        </w:tc>
      </w:tr>
    </w:tbl>
    <w:p>
      <w:pPr>
        <w:spacing w:after="200"/>
      </w:pPr>
    </w:p>
    <w:p>
      <w:pPr>
        <w:pStyle w:val="Heading1"/>
        <w:spacing w:after="150" w:before="300"/>
      </w:pPr>
      <w:r>
        <w:t xml:space="preserve">4. Interpretation</w:t>
      </w:r>
    </w:p>
    <w:p>
      <w:pPr>
        <w:pStyle w:val="ListParagraph"/>
        <w:numPr>
          <w:ilvl w:val="0"/>
          <w:numId w:val="1"/>
        </w:numPr>
        <w:spacing w:after="80"/>
      </w:pPr>
      <w:r>
        <w:t xml:space="preserve">FinBERT wins by +2.3 points accuracy and +2.5 points macro F1 over generic BERT-base — a modest but consistent improvement.</w:t>
      </w:r>
    </w:p>
    <w:p>
      <w:pPr>
        <w:pStyle w:val="ListParagraph"/>
        <w:numPr>
          <w:ilvl w:val="0"/>
          <w:numId w:val="1"/>
        </w:numPr>
        <w:spacing w:after="80"/>
      </w:pPr>
      <w:r>
        <w:t xml:space="preserve">Both Transformer models substantially outperform the TF-IDF + Logistic Regression baseline (75.4% macro F1), confirming the value of contextual, pretrained representations over bag-of-words features for this task.</w:t>
      </w:r>
    </w:p>
    <w:p>
      <w:pPr>
        <w:pStyle w:val="ListParagraph"/>
        <w:numPr>
          <w:ilvl w:val="0"/>
          <w:numId w:val="1"/>
        </w:numPr>
        <w:spacing w:after="80"/>
      </w:pPr>
      <w:r>
        <w:t xml:space="preserve">The result is consistent with published literature (e.g. "Is Domain Adaptation Worth Your Investment? Comparing BERT and FinBERT on Financial Tasks", Workshop on Economics and NLP, 2021), which found continued domain-specific pretraining helpful, though not dramatically so, for financial NLP tasks.</w:t>
      </w:r>
    </w:p>
    <w:p>
      <w:pPr>
        <w:pStyle w:val="Heading1"/>
        <w:spacing w:after="150" w:before="300"/>
      </w:pPr>
      <w:r>
        <w:t xml:space="preserve">5. Caveat</w:t>
      </w:r>
    </w:p>
    <w:p>
      <w:pPr>
        <w:spacing w:after="160"/>
      </w:pPr>
      <w:r>
        <w:t xml:space="preserve">FinBERT was originally fine-tuned by its creators on Financial PhraseBank itself, before this project re-fine-tuned it on a fresh, cleaned split of the same dataset. Generic BERT-base had no such prior exposure. Part of FinBERT's advantage here may therefore reflect this structural head start rather than domain-specific pretraining alone — a nuance worth stating explicitly rather than claiming a fully clean causal comparison.</w:t>
      </w:r>
    </w:p>
    <w:p>
      <w:pPr>
        <w:pStyle w:val="Heading1"/>
        <w:spacing w:after="150" w:before="300"/>
      </w:pPr>
      <w:r>
        <w:t xml:space="preserve">6. Conclusion</w:t>
      </w:r>
    </w:p>
    <w:p>
      <w:pPr>
        <w:spacing w:after="160"/>
      </w:pPr>
      <w:r>
        <w:t xml:space="preserve">Domain-adaptive pretraining provides a real, measurable, and consistent — if modest — benefit for financial sentiment classification in this setup. Both fine-tuned Transformer models substantially outperform a traditional lexical baseline, reinforcing the case for using pretrained Transformers over classical NLP approaches for this task.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b7da86266d5de0513a39c3658852961d24324aa.png"/><Relationship Id="rId8" Type="http://schemas.openxmlformats.org/officeDocument/2006/relationships/image" Target="media/af6c32ff4d41a148c2cdde17ba4448258cffdb1c.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2026-10-03T16:20:20.496Z</dcterms:created>
  <dcterms:modified xsi:type="dcterms:W3CDTF">2026-10-03T16:20:20.496Z</dcterms:modified>
</cp:coreProperties>
</file>

<file path=docProps/custom.xml><?xml version="1.0" encoding="utf-8"?>
<Properties xmlns="http://schemas.openxmlformats.org/officeDocument/2006/custom-properties" xmlns:vt="http://schemas.openxmlformats.org/officeDocument/2006/docPropsVTypes"/>
</file>