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rPr>
          <w:color w:val="666666"/>
          <w:sz w:val="17"/>
          <w:szCs w:val="17"/>
        </w:rPr>
      </w:pPr>
      <w:r>
        <w:rPr>
          <w:color w:val="666666"/>
          <w:sz w:val="17"/>
          <w:szCs w:val="17"/>
        </w:rPr>
        <w:t xml:space="preserve">Arbeitspapier 4.2.1 – Journal Entry Testing</w:t>
      </w:r>
    </w:p>
    <w:p>
      <w:pPr>
        <w:pStyle w:val="Heading1"/>
      </w:pPr>
      <w:r>
        <w:t xml:space="preserve">Prüfungsplanung und Selektionsstrategie Journal Entry Testing (JET) – Beispiel Dämmstoffe GmbH, GJ 2025</w:t>
      </w:r>
    </w:p>
    <w:p>
      <w:pPr>
        <w:spacing w:after="120"/>
        <w:rPr>
          <w:i/>
          <w:iCs/>
          <w:sz w:val="17"/>
          <w:szCs w:val="17"/>
        </w:rPr>
      </w:pPr>
      <w:r>
        <w:rPr>
          <w:i/>
          <w:iCs/>
          <w:sz w:val="17"/>
          <w:szCs w:val="17"/>
        </w:rPr>
        <w:t xml:space="preserve">Mandant: Beispiel Dämmstoffe GmbH, Musterstadt · Abschlussstichtag: 31.12.2025 · Ersteller: Prüfungsteam (Manager) · Datum: 06.02.2026 · Review: WP (Auftragsverantwortlicher), 09.02.2026 · Referenz: IDW PS 210 / ISA [DE] 240.32</w:t>
      </w:r>
    </w:p>
    <w:p>
      <w:pPr>
        <w:pStyle w:val="Heading2"/>
      </w:pPr>
      <w:r>
        <w:t xml:space="preserve">1. Prüfungsgegenstand und Grundgesamtheit</w:t>
      </w:r>
    </w:p>
    <w:p>
      <w:pPr>
        <w:spacing w:after="120"/>
      </w:pPr>
      <w:r>
        <w:t xml:space="preserve">Grundlage des JET ist der vollständige Hauptbuch-Journalexport (GDPdU-Datenträgerüberlassung) aus Microsoft Dynamics 365 Finance mit 1.083.723 Buchungszeilen in 122.952 Erfassungsvorgängen (Journalen) für den Zeitraum 01.01.2025 bis 31.12.2025, einschließlich 11.345 Zeilen der Eröffnungsschicht (Journal AB-2024). Die Vollständigkeit ist durch das Exportprotokoll vom 05.02.2026 (Datensatzabstimmung, SHA-256-Prüfsummen, Summe Buchungsbeträge 0,00 EUR) sowie die IT-Bestätigung zur Vollständigkeit und Unveränderbarkeit nachgewiesen. Abstimmung der Schlusssalden gegen die Summen- und Saldenliste per 31.12.2025 sowie der Eröffnungsschicht gegen die Vorjahres-Saldenliste per 31.12.2024: keine Differenzen.</w:t>
      </w:r>
    </w:p>
    <w:p>
      <w:pPr>
        <w:pStyle w:val="Heading2"/>
      </w:pPr>
      <w:r>
        <w:t xml:space="preserve">2. Abgrenzung manueller Buchungen</w:t>
      </w:r>
    </w:p>
    <w:p>
      <w:pPr>
        <w:spacing w:after="120"/>
      </w:pPr>
      <w:r>
        <w:t xml:space="preserve">Als manuelle Buchungen gelten sämtliche Zeilen mit Herkunftskennzeichen „Erstellte Journale“ (Feld PERIODENZUGEHÖRIGKEIT): 81.033 Zeilen in 3.116 Journalen. Alle übrigen Herkunftsarten (u. a. Auftragsabrechnung, Wareneinsatz, Mehrwertsteuer, Debitoren-/Kreditorenausgleich) entstehen maschinell aus Vor- und Nebensystemen unter der Batch-Kennung „Admin“ und sind nicht frei erfassbar. Die Freigabe manueller Journale ist im Freigabe-Log (Freigabe-Log_Journale_2025.csv) dokumentiert; die Verknüpfung der Journalzeilen mit dem Kontenplan erfolgt über das beigefügte Kontenplan-Mapping (Dimensionsformat → Hauptkonto).</w:t>
      </w:r>
    </w:p>
    <w:p>
      <w:pPr>
        <w:pStyle w:val="Heading2"/>
      </w:pPr>
      <w:r>
        <w:t xml:space="preserve">3. Risikoorientierte Selektionsstrategie</w:t>
      </w:r>
    </w:p>
    <w:p>
      <w:pPr>
        <w:spacing w:after="120"/>
      </w:pPr>
      <w:r>
        <w:t xml:space="preserve">Aus dem Verständnis von Geschäftstätigkeit und rechnungslegungsbezogenen Risiken (Fraud-Risk-Assessment vom 12.01.2026) wurden folgende Selektionskriterien festgelegt:</w:t>
      </w:r>
    </w:p>
    <w:p>
      <w:pPr>
        <w:pStyle w:val="ListParagraph"/>
        <w:numPr>
          <w:ilvl w:val="0"/>
          <w:numId w:val="2"/>
        </w:numPr>
        <w:spacing w:after="60"/>
      </w:pPr>
      <w:r>
        <w:t xml:space="preserve">K1 – Buchungen außerhalb üblicher Erfassungszeiten (vor 06:00, nach 20:00 Uhr sowie an Wochenenden), außer Batch-Kennung Admin;</w:t>
      </w:r>
    </w:p>
    <w:p>
      <w:pPr>
        <w:pStyle w:val="ListParagraph"/>
        <w:numPr>
          <w:ilvl w:val="0"/>
          <w:numId w:val="2"/>
        </w:numPr>
        <w:spacing w:after="60"/>
      </w:pPr>
      <w:r>
        <w:t xml:space="preserve">K2 – Erfassung nach dem Sperrdatum 15.01.2026 oder Rückdatierung (Erfassungsdatum &gt; 14 Tage nach Buchungsdatum);</w:t>
      </w:r>
    </w:p>
    <w:p>
      <w:pPr>
        <w:pStyle w:val="ListParagraph"/>
        <w:numPr>
          <w:ilvl w:val="0"/>
          <w:numId w:val="2"/>
        </w:numPr>
        <w:spacing w:after="60"/>
      </w:pPr>
      <w:r>
        <w:t xml:space="preserve">K3 – Buchungen von Kennungen mit Managementfunktion (BSP-U02, BSP-U09, BSP-U10) sowie der Batch-Kennung Admin bei manueller Herkunft;</w:t>
      </w:r>
    </w:p>
    <w:p>
      <w:pPr>
        <w:pStyle w:val="ListParagraph"/>
        <w:numPr>
          <w:ilvl w:val="0"/>
          <w:numId w:val="2"/>
        </w:numPr>
        <w:spacing w:after="60"/>
      </w:pPr>
      <w:r>
        <w:t xml:space="preserve">K4 – Ertragsbuchungen direkt gegen Kasse/Bank sowie Buchungen auf selten bebuchten Konten (&lt; 10 Buchungen p. a.);</w:t>
      </w:r>
    </w:p>
    <w:p>
      <w:pPr>
        <w:pStyle w:val="ListParagraph"/>
        <w:numPr>
          <w:ilvl w:val="0"/>
          <w:numId w:val="2"/>
        </w:numPr>
        <w:spacing w:after="60"/>
      </w:pPr>
      <w:r>
        <w:t xml:space="preserve">K5 – runde Beträge (Vielfache von 10.000 EUR) über der Nichtaufgriffsgrenze, Buchungen ohne bzw. mit auffälligem Buchungstext;</w:t>
      </w:r>
    </w:p>
    <w:p>
      <w:pPr>
        <w:pStyle w:val="ListParagraph"/>
        <w:numPr>
          <w:ilvl w:val="0"/>
          <w:numId w:val="2"/>
        </w:numPr>
        <w:spacing w:after="60"/>
      </w:pPr>
      <w:r>
        <w:t xml:space="preserve">K6 – Journale mit Freigabeverstößen laut Freigabe-Log (Ersteller = Freigeber, fehlende Freigabe);</w:t>
      </w:r>
    </w:p>
    <w:p>
      <w:pPr>
        <w:pStyle w:val="ListParagraph"/>
        <w:numPr>
          <w:ilvl w:val="0"/>
          <w:numId w:val="2"/>
        </w:numPr>
        <w:spacing w:after="60"/>
      </w:pPr>
      <w:r>
        <w:t xml:space="preserve">K7 – Buchungen zum 31.12.2025 (Jahresendfenster 29.12.2025–15.01.2026) mit Ergebniswirkung über Wesentlichkeitsgrenze.</w:t>
      </w:r>
    </w:p>
    <w:p>
      <w:pPr>
        <w:spacing w:after="120"/>
      </w:pPr>
      <w:r>
        <w:t xml:space="preserve">Wesentlichkeit (Gesamtabschluss): 1.000.000 EUR; Toleranzwesentlichkeit: 750.000 EUR; Nichtaufgriffsgrenze JET: 50.000 EUR.</w:t>
      </w:r>
    </w:p>
    <w:p>
      <w:pPr>
        <w:pStyle w:val="Heading2"/>
      </w:pPr>
      <w:r>
        <w:t xml:space="preserve">4. Unvorhersehbarkeit und Zufallselement</w:t>
      </w:r>
    </w:p>
    <w:p>
      <w:pPr>
        <w:spacing w:after="120"/>
      </w:pPr>
      <w:r>
        <w:t xml:space="preserve">Ergänzend zur kriteriengeleiteten Auswahl wird eine Zufallsstichprobe von 25 Buchungen aus der Gesamtpopulation gezogen (Zufallszahlengenerator, Seed dokumentiert im Ziehungsprotokoll, Ziehung am 06.02.2026 im Beisein des Managers). Zusätzlich wurde als unvorhersehbares Element das Konto 484080 (Weiterberechnung Dienstleistungen) für eine vollständige Durchsicht bestimmt; die Auswahl wurde dem Mandanten nicht vorab mitgeteilt.</w:t>
      </w:r>
    </w:p>
    <w:p>
      <w:pPr>
        <w:pStyle w:val="Heading2"/>
      </w:pPr>
      <w:r>
        <w:t xml:space="preserve">5. Datengrundlagen</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822"/>
        <w:gridCol w:w="6584"/>
      </w:tblGrid>
      <w:tr>
        <w:tc>
          <w:tcPr>
            <w:tcW w:type="dxa" w:w="2822"/>
            <w:tcBorders>
              <w:top w:val="single" w:color="BBBBBB" w:sz="1"/>
              <w:left w:val="single" w:color="BBBBBB" w:sz="1"/>
              <w:bottom w:val="single" w:color="BBBBBB" w:sz="1"/>
              <w:right w:val="single" w:color="BBBBBB" w:sz="1"/>
            </w:tcBorders>
            <w:shd w:fill="E3E9EF" w:val="clear"/>
            <w:tcMar>
              <w:top w:type="dxa" w:w="60"/>
              <w:left w:type="dxa" w:w="100"/>
              <w:bottom w:type="dxa" w:w="60"/>
              <w:right w:type="dxa" w:w="100"/>
            </w:tcMar>
          </w:tcPr>
          <w:p>
            <w:r>
              <w:rPr>
                <w:b/>
                <w:bCs/>
                <w:sz w:val="19"/>
                <w:szCs w:val="19"/>
              </w:rPr>
              <w:t xml:space="preserve">Unterlage</w:t>
            </w:r>
          </w:p>
        </w:tc>
        <w:tc>
          <w:tcPr>
            <w:tcW w:type="dxa" w:w="6584"/>
            <w:tcBorders>
              <w:top w:val="single" w:color="BBBBBB" w:sz="1"/>
              <w:left w:val="single" w:color="BBBBBB" w:sz="1"/>
              <w:bottom w:val="single" w:color="BBBBBB" w:sz="1"/>
              <w:right w:val="single" w:color="BBBBBB" w:sz="1"/>
            </w:tcBorders>
            <w:shd w:fill="E3E9EF" w:val="clear"/>
            <w:tcMar>
              <w:top w:type="dxa" w:w="60"/>
              <w:left w:type="dxa" w:w="100"/>
              <w:bottom w:type="dxa" w:w="60"/>
              <w:right w:type="dxa" w:w="100"/>
            </w:tcMar>
          </w:tcPr>
          <w:p>
            <w:r>
              <w:rPr>
                <w:b/>
                <w:bCs/>
                <w:sz w:val="19"/>
                <w:szCs w:val="19"/>
              </w:rPr>
              <w:t xml:space="preserve">Zweck</w:t>
            </w:r>
          </w:p>
        </w:tc>
      </w:tr>
      <w:tr>
        <w:tc>
          <w:tcPr>
            <w:tcW w:type="dxa" w:w="282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Sachkontobuchungen.txt (inkl. ERFASSUNGSDATUM/-ZEIT, FESTSCHREIBUNG)</w:t>
            </w:r>
          </w:p>
        </w:tc>
        <w:tc>
          <w:tcPr>
            <w:tcW w:type="dxa" w:w="658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Grundgesamtheit JET, Journalanalysen</w:t>
            </w:r>
          </w:p>
        </w:tc>
      </w:tr>
      <w:tr>
        <w:tc>
          <w:tcPr>
            <w:tcW w:type="dxa" w:w="282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Saldenliste_2025_mit_Ueberleitung.xlsx</w:t>
            </w:r>
          </w:p>
        </w:tc>
        <w:tc>
          <w:tcPr>
            <w:tcW w:type="dxa" w:w="658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Abstimmung, Roll-Forward, Top-Side-Adjustments</w:t>
            </w:r>
          </w:p>
        </w:tc>
      </w:tr>
      <w:tr>
        <w:tc>
          <w:tcPr>
            <w:tcW w:type="dxa" w:w="282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Saldenliste_2024_Vorjahr.xlsx</w:t>
            </w:r>
          </w:p>
        </w:tc>
        <w:tc>
          <w:tcPr>
            <w:tcW w:type="dxa" w:w="658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Abgleich Eröffnungsschicht/Saldenvorträge</w:t>
            </w:r>
          </w:p>
        </w:tc>
      </w:tr>
      <w:tr>
        <w:tc>
          <w:tcPr>
            <w:tcW w:type="dxa" w:w="282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Exportprotokoll_GDPdU_2025.pdf / IT-Bestaetigung_Vollstaendigkeit_2025.pdf</w:t>
            </w:r>
          </w:p>
        </w:tc>
        <w:tc>
          <w:tcPr>
            <w:tcW w:type="dxa" w:w="658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Export-Validierung, Vollständigkeit, GoBD</w:t>
            </w:r>
          </w:p>
        </w:tc>
      </w:tr>
      <w:tr>
        <w:tc>
          <w:tcPr>
            <w:tcW w:type="dxa" w:w="282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Berechtigungsauswertung_2025.xlsx</w:t>
            </w:r>
          </w:p>
        </w:tc>
        <w:tc>
          <w:tcPr>
            <w:tcW w:type="dxa" w:w="658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Buchungsberechtigungen, Funktionstrennung, Management-Kennungen</w:t>
            </w:r>
          </w:p>
        </w:tc>
      </w:tr>
      <w:tr>
        <w:tc>
          <w:tcPr>
            <w:tcW w:type="dxa" w:w="282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Freigabe-Log_Journale_2025.csv / Aenderungsprotokoll_2025.csv</w:t>
            </w:r>
          </w:p>
        </w:tc>
        <w:tc>
          <w:tcPr>
            <w:tcW w:type="dxa" w:w="658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Freigabeprozess, Korrekturen/Storni</w:t>
            </w:r>
          </w:p>
        </w:tc>
      </w:tr>
      <w:tr>
        <w:tc>
          <w:tcPr>
            <w:tcW w:type="dxa" w:w="282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Stammdaten-Statusliste_2025.csv / Kontenplan-Mapping.csv</w:t>
            </w:r>
          </w:p>
        </w:tc>
        <w:tc>
          <w:tcPr>
            <w:tcW w:type="dxa" w:w="658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Gesperrte/gelöschte/CpD-Partner, Kontenverknüpfung</w:t>
            </w:r>
          </w:p>
        </w:tc>
      </w:tr>
    </w:tbl>
    <w:p>
      <w:pPr>
        <w:spacing w:after="120"/>
      </w:pPr>
      <w:r>
        <w:t xml:space="preserve"/>
      </w:r>
    </w:p>
    <w:p>
      <w:pPr>
        <w:spacing w:after="120"/>
        <w:rPr>
          <w:i/>
          <w:iCs/>
          <w:sz w:val="17"/>
          <w:szCs w:val="17"/>
        </w:rPr>
      </w:pPr>
      <w:r>
        <w:rPr>
          <w:i/>
          <w:iCs/>
          <w:sz w:val="17"/>
          <w:szCs w:val="17"/>
        </w:rPr>
        <w:t xml:space="preserve">Aufgestellt: 06.02.2026, Prüfungsteam · Durchgesehen und freigegeben: 09.02.2026, Auftragsverantwortlicher WP</w:t>
      </w:r>
    </w:p>
    <w:sectPr>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outlineLvl w:val="0"/>
    </w:pPr>
    <w:rPr>
      <w:rFonts w:ascii="Arial" w:cs="Arial" w:eastAsia="Arial" w:hAnsi="Arial"/>
      <w:b/>
      <w:bCs/>
      <w:sz w:val="26"/>
      <w:szCs w:val="26"/>
    </w:rPr>
  </w:style>
  <w:style w:type="paragraph" w:styleId="Heading2">
    <w:name w:val="Heading 2"/>
    <w:basedOn w:val="Normal"/>
    <w:next w:val="Normal"/>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Beispiel Daemmstoffe GmbH</dc:creator>
  <cp:lastModifiedBy>Beispiel Daemmstoffe GmbH</cp:lastModifiedBy>
</cp:coreProperties>
</file>

<file path=docProps/custom.xml><?xml version="1.0" encoding="utf-8"?>
<Properties xmlns="http://schemas.openxmlformats.org/officeDocument/2006/custom-properties" xmlns:vt="http://schemas.openxmlformats.org/officeDocument/2006/docPropsVTypes"/>
</file>