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invention-disclosure-form"/>
    <w:p>
      <w:pPr>
        <w:pStyle w:val="Heading1"/>
      </w:pPr>
      <w:r>
        <w:t xml:space="preserve">Invention Disclosure Form</w:t>
      </w:r>
    </w:p>
    <w:p>
      <w:pPr>
        <w:pStyle w:val="FirstParagraph"/>
      </w:pPr>
      <w:r>
        <w:t xml:space="preserve">To be filled in by the Inventors</w:t>
      </w:r>
    </w:p>
    <w:p>
      <w:pPr>
        <w:pStyle w:val="BodyText"/>
      </w:pPr>
      <w:r>
        <w:t xml:space="preserve">Please fill in the form below, explaining in as much detail as possible, the salient features and aspects of your invention. As far as possible please use consistent language while describing a particular feature or element.</w:t>
      </w:r>
    </w:p>
    <w:p>
      <w:r>
        <w:pict>
          <v:rect style="width:0;height:1.5pt" o:hralign="center" o:hrstd="t" o:hr="t"/>
        </w:pict>
      </w:r>
    </w:p>
    <w:bookmarkStart w:id="11" w:name="describe-the-invention."/>
    <w:p>
      <w:pPr>
        <w:pStyle w:val="Heading2"/>
      </w:pPr>
      <w:r>
        <w:t xml:space="preserve">1) Describe the invention.</w:t>
      </w:r>
    </w:p>
    <w:p>
      <w:pPr>
        <w:pStyle w:val="FirstParagraph"/>
      </w:pPr>
      <w:r>
        <w:rPr>
          <w:b/>
          <w:bCs/>
        </w:rPr>
        <w:t xml:space="preserve">Title</w:t>
      </w:r>
      <w:r>
        <w:t xml:space="preserve">: Trinetra — An Agentic AI Platform for Automated Commercial Credit Underwriting Using Multi-Agent Vector-Memory Architecture</w:t>
      </w:r>
    </w:p>
    <w:bookmarkStart w:id="9" w:name="X431f5020072bd474be860fa46282bfd07e94c37"/>
    <w:p>
      <w:pPr>
        <w:pStyle w:val="Heading3"/>
      </w:pPr>
      <w:r>
        <w:t xml:space="preserve">1a) Describe the invention in your own words. Is the invention a new process, composition of matter, device or product, system, software, or a combination of these elements?</w:t>
      </w:r>
    </w:p>
    <w:p>
      <w:pPr>
        <w:pStyle w:val="FirstParagraph"/>
      </w:pPr>
      <w:r>
        <w:t xml:space="preserve">Trinetra is a</w:t>
      </w:r>
      <w:r>
        <w:t xml:space="preserve"> </w:t>
      </w:r>
      <w:r>
        <w:rPr>
          <w:b/>
          <w:bCs/>
        </w:rPr>
        <w:t xml:space="preserve">software system</w:t>
      </w:r>
      <w:r>
        <w:t xml:space="preserve"> </w:t>
      </w:r>
      <w:r>
        <w:t xml:space="preserve">that automates the entire commercial credit underwriting lifecycle — from financial document ingestion to a professional Credit Appraisal Memorandum (CAM) — using a novel multi-agent architecture with shared vector-memory. The system replaces the manual, multi-day process of evaluating corporate loan applications with an automated pipeline that delivers an explainable credit decision in approximately 60 seconds.</w:t>
      </w:r>
    </w:p>
    <w:p>
      <w:pPr>
        <w:pStyle w:val="BodyText"/>
      </w:pPr>
      <w:r>
        <w:t xml:space="preserve">The invention comprises the following core technical components:</w:t>
      </w:r>
    </w:p>
    <w:p>
      <w:pPr>
        <w:pStyle w:val="BodyText"/>
      </w:pPr>
      <w:r>
        <w:rPr>
          <w:b/>
          <w:bCs/>
        </w:rPr>
        <w:t xml:space="preserve">1. Multi-Agent Event-Driven Architecture</w:t>
      </w:r>
    </w:p>
    <w:p>
      <w:pPr>
        <w:pStyle w:val="BodyText"/>
      </w:pPr>
      <w:r>
        <w:t xml:space="preserve">The system employs 14 specialized AI agents, each responsible for a distinct domain of credit analysis. Unlike monolithic credit scoring systems, these agents operate independently and communicate through a Redis Streams event bus using a publish-subscribe pattern with consumer groups. Each agent inherits from a common base class (</w:t>
      </w:r>
      <w:r>
        <w:rPr>
          <w:rStyle w:val="VerbatimChar"/>
        </w:rPr>
        <w:t xml:space="preserve">AgentBase</w:t>
      </w:r>
      <w:r>
        <w:t xml:space="preserve">) that provides:</w:t>
      </w:r>
      <w:r>
        <w:t xml:space="preserve"> </w:t>
      </w:r>
      <w:r>
        <w:t xml:space="preserve">- Event consumption via Redis Streams with Consumer Group support (XREADGROUP)</w:t>
      </w:r>
      <w:r>
        <w:t xml:space="preserve"> </w:t>
      </w:r>
      <w:r>
        <w:t xml:space="preserve">- Crash recovery through Pending Entry List (PEL) replay — if an agent crashes mid-processing, upon restart it automatically re-reads and re-processes unacknowledged messages</w:t>
      </w:r>
      <w:r>
        <w:t xml:space="preserve"> </w:t>
      </w:r>
      <w:r>
        <w:t xml:space="preserve">- Status broadcasting via Redis Pub/Sub for real-time WebSocket updates to the user interface</w:t>
      </w:r>
      <w:r>
        <w:t xml:space="preserve"> </w:t>
      </w:r>
      <w:r>
        <w:t xml:space="preserve">- Graceful shutdown via POSIX signal handling (SIGTERM, SIGINT)</w:t>
      </w:r>
    </w:p>
    <w:p>
      <w:pPr>
        <w:pStyle w:val="BodyText"/>
      </w:pPr>
      <w:r>
        <w:t xml:space="preserve">The 14 agents and their trigger events are: (i) Compliance Agent — triggered by</w:t>
      </w:r>
      <w:r>
        <w:t xml:space="preserve"> </w:t>
      </w:r>
      <w:r>
        <w:rPr>
          <w:rStyle w:val="VerbatimChar"/>
        </w:rPr>
        <w:t xml:space="preserve">application_created</w:t>
      </w:r>
      <w:r>
        <w:t xml:space="preserve">; (ii) Document Agent — triggered by</w:t>
      </w:r>
      <w:r>
        <w:t xml:space="preserve"> </w:t>
      </w:r>
      <w:r>
        <w:rPr>
          <w:rStyle w:val="VerbatimChar"/>
        </w:rPr>
        <w:t xml:space="preserve">documents_uploaded</w:t>
      </w:r>
      <w:r>
        <w:t xml:space="preserve">; (iii) GST Agent — triggered by</w:t>
      </w:r>
      <w:r>
        <w:t xml:space="preserve"> </w:t>
      </w:r>
      <w:r>
        <w:rPr>
          <w:rStyle w:val="VerbatimChar"/>
        </w:rPr>
        <w:t xml:space="preserve">documents_parsed</w:t>
      </w:r>
      <w:r>
        <w:t xml:space="preserve">; (iv) Bank Reconciliation Agent — triggered by</w:t>
      </w:r>
      <w:r>
        <w:t xml:space="preserve"> </w:t>
      </w:r>
      <w:r>
        <w:rPr>
          <w:rStyle w:val="VerbatimChar"/>
        </w:rPr>
        <w:t xml:space="preserve">gst_done</w:t>
      </w:r>
      <w:r>
        <w:t xml:space="preserve">; (v) MCA Agent — triggered by</w:t>
      </w:r>
      <w:r>
        <w:t xml:space="preserve"> </w:t>
      </w:r>
      <w:r>
        <w:rPr>
          <w:rStyle w:val="VerbatimChar"/>
        </w:rPr>
        <w:t xml:space="preserve">documents_parsed</w:t>
      </w:r>
      <w:r>
        <w:t xml:space="preserve">; (vi) Web Intelligence Agent — triggered by</w:t>
      </w:r>
      <w:r>
        <w:t xml:space="preserve"> </w:t>
      </w:r>
      <w:r>
        <w:rPr>
          <w:rStyle w:val="VerbatimChar"/>
        </w:rPr>
        <w:t xml:space="preserve">documents_parsed</w:t>
      </w:r>
      <w:r>
        <w:t xml:space="preserve">; (vii) PAN Verification Agent — triggered by</w:t>
      </w:r>
      <w:r>
        <w:t xml:space="preserve"> </w:t>
      </w:r>
      <w:r>
        <w:rPr>
          <w:rStyle w:val="VerbatimChar"/>
        </w:rPr>
        <w:t xml:space="preserve">application_created</w:t>
      </w:r>
      <w:r>
        <w:t xml:space="preserve">; (viii) Model Selector Agent — triggered by</w:t>
      </w:r>
      <w:r>
        <w:t xml:space="preserve"> </w:t>
      </w:r>
      <w:r>
        <w:rPr>
          <w:rStyle w:val="VerbatimChar"/>
        </w:rPr>
        <w:t xml:space="preserve">features_ready</w:t>
      </w:r>
      <w:r>
        <w:t xml:space="preserve">; (ix) Risk Agent — triggered by</w:t>
      </w:r>
      <w:r>
        <w:t xml:space="preserve"> </w:t>
      </w:r>
      <w:r>
        <w:rPr>
          <w:rStyle w:val="VerbatimChar"/>
        </w:rPr>
        <w:t xml:space="preserve">model_selected</w:t>
      </w:r>
      <w:r>
        <w:t xml:space="preserve">; (x) Bias Agent — triggered by</w:t>
      </w:r>
      <w:r>
        <w:t xml:space="preserve"> </w:t>
      </w:r>
      <w:r>
        <w:rPr>
          <w:rStyle w:val="VerbatimChar"/>
        </w:rPr>
        <w:t xml:space="preserve">risk_scored</w:t>
      </w:r>
      <w:r>
        <w:t xml:space="preserve">; (xi) Stress Agent — triggered by</w:t>
      </w:r>
      <w:r>
        <w:t xml:space="preserve"> </w:t>
      </w:r>
      <w:r>
        <w:rPr>
          <w:rStyle w:val="VerbatimChar"/>
        </w:rPr>
        <w:t xml:space="preserve">risk_scored</w:t>
      </w:r>
      <w:r>
        <w:t xml:space="preserve">; (xii) Personal Discussion Agent — triggered manually; (xiii) CAM Generator Agent — triggered by</w:t>
      </w:r>
      <w:r>
        <w:t xml:space="preserve"> </w:t>
      </w:r>
      <w:r>
        <w:rPr>
          <w:rStyle w:val="VerbatimChar"/>
        </w:rPr>
        <w:t xml:space="preserve">all_agents_done</w:t>
      </w:r>
      <w:r>
        <w:t xml:space="preserve">; (xiv) Monitor Agent — runs continuously.</w:t>
      </w:r>
    </w:p>
    <w:p>
      <w:pPr>
        <w:pStyle w:val="BodyText"/>
      </w:pPr>
      <w:r>
        <w:rPr>
          <w:b/>
          <w:bCs/>
        </w:rPr>
        <w:t xml:space="preserve">2. Shared Vector-Memory via Qdrant Database</w:t>
      </w:r>
    </w:p>
    <w:p>
      <w:pPr>
        <w:pStyle w:val="BodyText"/>
      </w:pPr>
      <w:r>
        <w:t xml:space="preserve">All 14 agents share a common vector database (Qdrant) organized into 14 domain-specific collections. Each collection stores 384-dimensional embedding vectors generated by the</w:t>
      </w:r>
      <w:r>
        <w:t xml:space="preserve"> </w:t>
      </w:r>
      <w:r>
        <w:rPr>
          <w:rStyle w:val="VerbatimChar"/>
        </w:rPr>
        <w:t xml:space="preserve">all-MiniLM-L6-v2</w:t>
      </w:r>
      <w:r>
        <w:t xml:space="preserve"> </w:t>
      </w:r>
      <w:r>
        <w:t xml:space="preserve">Sentence Transformer model with Cosine distance similarity. The collections are:</w:t>
      </w:r>
      <w:r>
        <w:t xml:space="preserve"> </w:t>
      </w:r>
      <w:r>
        <w:rPr>
          <w:rStyle w:val="VerbatimChar"/>
        </w:rPr>
        <w:t xml:space="preserve">document_chunks</w:t>
      </w:r>
      <w:r>
        <w:t xml:space="preserve">,</w:t>
      </w:r>
      <w:r>
        <w:t xml:space="preserve"> </w:t>
      </w:r>
      <w:r>
        <w:rPr>
          <w:rStyle w:val="VerbatimChar"/>
        </w:rPr>
        <w:t xml:space="preserve">financial_profiles</w:t>
      </w:r>
      <w:r>
        <w:t xml:space="preserve">,</w:t>
      </w:r>
      <w:r>
        <w:t xml:space="preserve"> </w:t>
      </w:r>
      <w:r>
        <w:rPr>
          <w:rStyle w:val="VerbatimChar"/>
        </w:rPr>
        <w:t xml:space="preserve">gst_patterns</w:t>
      </w:r>
      <w:r>
        <w:t xml:space="preserve">,</w:t>
      </w:r>
      <w:r>
        <w:t xml:space="preserve"> </w:t>
      </w:r>
      <w:r>
        <w:rPr>
          <w:rStyle w:val="VerbatimChar"/>
        </w:rPr>
        <w:t xml:space="preserve">bank_recon_profiles</w:t>
      </w:r>
      <w:r>
        <w:t xml:space="preserve">,</w:t>
      </w:r>
      <w:r>
        <w:t xml:space="preserve"> </w:t>
      </w:r>
      <w:r>
        <w:rPr>
          <w:rStyle w:val="VerbatimChar"/>
        </w:rPr>
        <w:t xml:space="preserve">news_articles</w:t>
      </w:r>
      <w:r>
        <w:t xml:space="preserve">,</w:t>
      </w:r>
      <w:r>
        <w:t xml:space="preserve"> </w:t>
      </w:r>
      <w:r>
        <w:rPr>
          <w:rStyle w:val="VerbatimChar"/>
        </w:rPr>
        <w:t xml:space="preserve">litigation_records</w:t>
      </w:r>
      <w:r>
        <w:t xml:space="preserve">,</w:t>
      </w:r>
      <w:r>
        <w:t xml:space="preserve"> </w:t>
      </w:r>
      <w:r>
        <w:rPr>
          <w:rStyle w:val="VerbatimChar"/>
        </w:rPr>
        <w:t xml:space="preserve">rbi_circulars</w:t>
      </w:r>
      <w:r>
        <w:t xml:space="preserve">,</w:t>
      </w:r>
      <w:r>
        <w:t xml:space="preserve"> </w:t>
      </w:r>
      <w:r>
        <w:rPr>
          <w:rStyle w:val="VerbatimChar"/>
        </w:rPr>
        <w:t xml:space="preserve">mca_filings</w:t>
      </w:r>
      <w:r>
        <w:t xml:space="preserve">,</w:t>
      </w:r>
      <w:r>
        <w:t xml:space="preserve"> </w:t>
      </w:r>
      <w:r>
        <w:rPr>
          <w:rStyle w:val="VerbatimChar"/>
        </w:rPr>
        <w:t xml:space="preserve">pan_profiles</w:t>
      </w:r>
      <w:r>
        <w:t xml:space="preserve">,</w:t>
      </w:r>
      <w:r>
        <w:t xml:space="preserve"> </w:t>
      </w:r>
      <w:r>
        <w:rPr>
          <w:rStyle w:val="VerbatimChar"/>
        </w:rPr>
        <w:t xml:space="preserve">risk_decisions</w:t>
      </w:r>
      <w:r>
        <w:t xml:space="preserve">,</w:t>
      </w:r>
      <w:r>
        <w:t xml:space="preserve"> </w:t>
      </w:r>
      <w:r>
        <w:rPr>
          <w:rStyle w:val="VerbatimChar"/>
        </w:rPr>
        <w:t xml:space="preserve">pd_transcripts</w:t>
      </w:r>
      <w:r>
        <w:t xml:space="preserve">,</w:t>
      </w:r>
      <w:r>
        <w:t xml:space="preserve"> </w:t>
      </w:r>
      <w:r>
        <w:rPr>
          <w:rStyle w:val="VerbatimChar"/>
        </w:rPr>
        <w:t xml:space="preserve">stress_scenarios</w:t>
      </w:r>
      <w:r>
        <w:t xml:space="preserve">,</w:t>
      </w:r>
      <w:r>
        <w:t xml:space="preserve"> </w:t>
      </w:r>
      <w:r>
        <w:rPr>
          <w:rStyle w:val="VerbatimChar"/>
        </w:rPr>
        <w:t xml:space="preserve">audit_events</w:t>
      </w:r>
      <w:r>
        <w:t xml:space="preserve">, and</w:t>
      </w:r>
      <w:r>
        <w:t xml:space="preserve"> </w:t>
      </w:r>
      <w:r>
        <w:rPr>
          <w:rStyle w:val="VerbatimChar"/>
        </w:rPr>
        <w:t xml:space="preserve">application_summaries</w:t>
      </w:r>
      <w:r>
        <w:t xml:space="preserve">.</w:t>
      </w:r>
    </w:p>
    <w:p>
      <w:pPr>
        <w:pStyle w:val="BodyText"/>
      </w:pPr>
      <w:r>
        <w:t xml:space="preserve">This architecture enables</w:t>
      </w:r>
      <w:r>
        <w:t xml:space="preserve"> </w:t>
      </w:r>
      <w:r>
        <w:rPr>
          <w:b/>
          <w:bCs/>
        </w:rPr>
        <w:t xml:space="preserve">cross-agent semantic reasoning</w:t>
      </w:r>
      <w:r>
        <w:t xml:space="preserve"> </w:t>
      </w:r>
      <w:r>
        <w:t xml:space="preserve">— for example, the Risk Agent performs hybrid searches (vector similarity combined with metadata filters) across</w:t>
      </w:r>
      <w:r>
        <w:t xml:space="preserve"> </w:t>
      </w:r>
      <w:r>
        <w:rPr>
          <w:rStyle w:val="VerbatimChar"/>
        </w:rPr>
        <w:t xml:space="preserve">financial_profiles</w:t>
      </w:r>
      <w:r>
        <w:t xml:space="preserve">,</w:t>
      </w:r>
      <w:r>
        <w:t xml:space="preserve"> </w:t>
      </w:r>
      <w:r>
        <w:rPr>
          <w:rStyle w:val="VerbatimChar"/>
        </w:rPr>
        <w:t xml:space="preserve">gst_patterns</w:t>
      </w:r>
      <w:r>
        <w:t xml:space="preserve">, and</w:t>
      </w:r>
      <w:r>
        <w:t xml:space="preserve"> </w:t>
      </w:r>
      <w:r>
        <w:rPr>
          <w:rStyle w:val="VerbatimChar"/>
        </w:rPr>
        <w:t xml:space="preserve">litigation_records</w:t>
      </w:r>
      <w:r>
        <w:t xml:space="preserve"> </w:t>
      </w:r>
      <w:r>
        <w:t xml:space="preserve">simultaneously to produce a holistic risk score. The CAM Generator Agent reads from all 14 collections to synthesize the final report.</w:t>
      </w:r>
    </w:p>
    <w:p>
      <w:pPr>
        <w:pStyle w:val="BodyText"/>
      </w:pPr>
      <w:r>
        <w:rPr>
          <w:b/>
          <w:bCs/>
        </w:rPr>
        <w:t xml:space="preserve">3. Unified Credit Schema Object (UCSO)</w:t>
      </w:r>
    </w:p>
    <w:p>
      <w:pPr>
        <w:pStyle w:val="BodyText"/>
      </w:pPr>
      <w:r>
        <w:t xml:space="preserve">Every loan application is represented by a single JSON document called the Unified Credit Schema Object (UCSO) with 18 namespaces. Each agent reads the full UCSO, processes its domain, and writes results back to its designated namespace via a RESTful PATCH operation. The namespaces include:</w:t>
      </w:r>
      <w:r>
        <w:t xml:space="preserve"> </w:t>
      </w:r>
      <w:r>
        <w:rPr>
          <w:rStyle w:val="VerbatimChar"/>
        </w:rPr>
        <w:t xml:space="preserve">company_info</w:t>
      </w:r>
      <w:r>
        <w:t xml:space="preserve">,</w:t>
      </w:r>
      <w:r>
        <w:t xml:space="preserve"> </w:t>
      </w:r>
      <w:r>
        <w:rPr>
          <w:rStyle w:val="VerbatimChar"/>
        </w:rPr>
        <w:t xml:space="preserve">documents</w:t>
      </w:r>
      <w:r>
        <w:t xml:space="preserve">,</w:t>
      </w:r>
      <w:r>
        <w:t xml:space="preserve"> </w:t>
      </w:r>
      <w:r>
        <w:rPr>
          <w:rStyle w:val="VerbatimChar"/>
        </w:rPr>
        <w:t xml:space="preserve">compliance</w:t>
      </w:r>
      <w:r>
        <w:t xml:space="preserve">,</w:t>
      </w:r>
      <w:r>
        <w:t xml:space="preserve"> </w:t>
      </w:r>
      <w:r>
        <w:rPr>
          <w:rStyle w:val="VerbatimChar"/>
        </w:rPr>
        <w:t xml:space="preserve">financial_summary</w:t>
      </w:r>
      <w:r>
        <w:t xml:space="preserve">,</w:t>
      </w:r>
      <w:r>
        <w:t xml:space="preserve"> </w:t>
      </w:r>
      <w:r>
        <w:rPr>
          <w:rStyle w:val="VerbatimChar"/>
        </w:rPr>
        <w:t xml:space="preserve">gst_analysis</w:t>
      </w:r>
      <w:r>
        <w:t xml:space="preserve">,</w:t>
      </w:r>
      <w:r>
        <w:t xml:space="preserve"> </w:t>
      </w:r>
      <w:r>
        <w:rPr>
          <w:rStyle w:val="VerbatimChar"/>
        </w:rPr>
        <w:t xml:space="preserve">bank_reconciliation</w:t>
      </w:r>
      <w:r>
        <w:t xml:space="preserve">,</w:t>
      </w:r>
      <w:r>
        <w:t xml:space="preserve"> </w:t>
      </w:r>
      <w:r>
        <w:rPr>
          <w:rStyle w:val="VerbatimChar"/>
        </w:rPr>
        <w:t xml:space="preserve">mca_intelligence</w:t>
      </w:r>
      <w:r>
        <w:t xml:space="preserve">,</w:t>
      </w:r>
      <w:r>
        <w:t xml:space="preserve"> </w:t>
      </w:r>
      <w:r>
        <w:rPr>
          <w:rStyle w:val="VerbatimChar"/>
        </w:rPr>
        <w:t xml:space="preserve">web_intel</w:t>
      </w:r>
      <w:r>
        <w:t xml:space="preserve">,</w:t>
      </w:r>
      <w:r>
        <w:t xml:space="preserve"> </w:t>
      </w:r>
      <w:r>
        <w:rPr>
          <w:rStyle w:val="VerbatimChar"/>
        </w:rPr>
        <w:t xml:space="preserve">pan_verification</w:t>
      </w:r>
      <w:r>
        <w:t xml:space="preserve">,</w:t>
      </w:r>
      <w:r>
        <w:t xml:space="preserve"> </w:t>
      </w:r>
      <w:r>
        <w:rPr>
          <w:rStyle w:val="VerbatimChar"/>
        </w:rPr>
        <w:t xml:space="preserve">derived_features</w:t>
      </w:r>
      <w:r>
        <w:t xml:space="preserve">,</w:t>
      </w:r>
      <w:r>
        <w:t xml:space="preserve"> </w:t>
      </w:r>
      <w:r>
        <w:rPr>
          <w:rStyle w:val="VerbatimChar"/>
        </w:rPr>
        <w:t xml:space="preserve">decision_confidence</w:t>
      </w:r>
      <w:r>
        <w:t xml:space="preserve">,</w:t>
      </w:r>
      <w:r>
        <w:t xml:space="preserve"> </w:t>
      </w:r>
      <w:r>
        <w:rPr>
          <w:rStyle w:val="VerbatimChar"/>
        </w:rPr>
        <w:t xml:space="preserve">risk</w:t>
      </w:r>
      <w:r>
        <w:t xml:space="preserve">,</w:t>
      </w:r>
      <w:r>
        <w:t xml:space="preserve"> </w:t>
      </w:r>
      <w:r>
        <w:rPr>
          <w:rStyle w:val="VerbatimChar"/>
        </w:rPr>
        <w:t xml:space="preserve">bias_checks</w:t>
      </w:r>
      <w:r>
        <w:t xml:space="preserve">,</w:t>
      </w:r>
      <w:r>
        <w:t xml:space="preserve"> </w:t>
      </w:r>
      <w:r>
        <w:rPr>
          <w:rStyle w:val="VerbatimChar"/>
        </w:rPr>
        <w:t xml:space="preserve">stress_results</w:t>
      </w:r>
      <w:r>
        <w:t xml:space="preserve">,</w:t>
      </w:r>
      <w:r>
        <w:t xml:space="preserve"> </w:t>
      </w:r>
      <w:r>
        <w:rPr>
          <w:rStyle w:val="VerbatimChar"/>
        </w:rPr>
        <w:t xml:space="preserve">pd_intelligence</w:t>
      </w:r>
      <w:r>
        <w:t xml:space="preserve">,</w:t>
      </w:r>
      <w:r>
        <w:t xml:space="preserve"> </w:t>
      </w:r>
      <w:r>
        <w:rPr>
          <w:rStyle w:val="VerbatimChar"/>
        </w:rPr>
        <w:t xml:space="preserve">cam_output</w:t>
      </w:r>
      <w:r>
        <w:t xml:space="preserve">,</w:t>
      </w:r>
      <w:r>
        <w:t xml:space="preserve"> </w:t>
      </w:r>
      <w:r>
        <w:rPr>
          <w:rStyle w:val="VerbatimChar"/>
        </w:rPr>
        <w:t xml:space="preserve">monitoring</w:t>
      </w:r>
      <w:r>
        <w:t xml:space="preserve">, and</w:t>
      </w:r>
      <w:r>
        <w:t xml:space="preserve"> </w:t>
      </w:r>
      <w:r>
        <w:rPr>
          <w:rStyle w:val="VerbatimChar"/>
        </w:rPr>
        <w:t xml:space="preserve">metadata</w:t>
      </w:r>
      <w:r>
        <w:t xml:space="preserve">. A JSON Schema validator enforces data integrity at the UCSO client level, preventing malformed data from entering the pipeline.</w:t>
      </w:r>
    </w:p>
    <w:p>
      <w:pPr>
        <w:pStyle w:val="BodyText"/>
      </w:pPr>
      <w:r>
        <w:rPr>
          <w:b/>
          <w:bCs/>
        </w:rPr>
        <w:t xml:space="preserve">4. Text and Document Processing Pipeline</w:t>
      </w:r>
    </w:p>
    <w:p>
      <w:pPr>
        <w:pStyle w:val="BodyText"/>
      </w:pPr>
      <w:r>
        <w:t xml:space="preserve">Financial documents (ITR filings, bank statements, GST returns, audit reports) in PDF format are processed using PyMuPDF and pdfplumber for text extraction. The extracted text is chunked, embedded into 384-dimensional vectors using Sentence Transformers, and stored in the Qdrant</w:t>
      </w:r>
      <w:r>
        <w:t xml:space="preserve"> </w:t>
      </w:r>
      <w:r>
        <w:rPr>
          <w:rStyle w:val="VerbatimChar"/>
        </w:rPr>
        <w:t xml:space="preserve">document_chunks</w:t>
      </w:r>
      <w:r>
        <w:t xml:space="preserve"> </w:t>
      </w:r>
      <w:r>
        <w:t xml:space="preserve">collection. The Document Agent then derives structured financial metrics (DSCR, current ratio, debt-to-equity, EBITDA margin, revenue growth) from the extracted text and stores them in the</w:t>
      </w:r>
      <w:r>
        <w:t xml:space="preserve"> </w:t>
      </w:r>
      <w:r>
        <w:rPr>
          <w:rStyle w:val="VerbatimChar"/>
        </w:rPr>
        <w:t xml:space="preserve">financial_profiles</w:t>
      </w:r>
      <w:r>
        <w:t xml:space="preserve"> </w:t>
      </w:r>
      <w:r>
        <w:t xml:space="preserve">collection.</w:t>
      </w:r>
    </w:p>
    <w:p>
      <w:pPr>
        <w:pStyle w:val="BodyText"/>
      </w:pPr>
      <w:r>
        <w:rPr>
          <w:b/>
          <w:bCs/>
        </w:rPr>
        <w:t xml:space="preserve">5. Tri-Lens Risk Scoring with Attention-Weighted Fusion</w:t>
      </w:r>
    </w:p>
    <w:p>
      <w:pPr>
        <w:pStyle w:val="BodyText"/>
      </w:pPr>
      <w:r>
        <w:t xml:space="preserve">The invention introduces a proprietary risk scoring algorithm called Tri-Lens that evaluates borrowers across three independent lenses: (i) Financial Lens — solvency, liquidity, and growth metrics (base weight: 0.45); (ii) Behavioral Lens — GST compliance, bank cash flows, circular trading indicators, cheque bounce rates (base weight: 0.35); (iii) Contextual Lens — web news sentiment, litigation severity, years in business, CIBIL score, promoter holding (base weight: 0.20). Each lens produces a sub-score and a confidence value. The sub-scores are fused using an attention-weighted mechanism where the final weight of each lens is proportional to both its base weight and its confidence (proportion of available features). The system supports sector-adaptive normalization using industry-specific statistical profiles and employs sigmoid curves for non-linear risk mapping on tail-risk features (leverage, bounce rate, GST discrepancy).</w:t>
      </w:r>
    </w:p>
    <w:p>
      <w:pPr>
        <w:pStyle w:val="BodyText"/>
      </w:pPr>
      <w:r>
        <w:rPr>
          <w:b/>
          <w:bCs/>
        </w:rPr>
        <w:t xml:space="preserve">6. GST Fraud Detection via Temporal Knowledge Graph</w:t>
      </w:r>
    </w:p>
    <w:p>
      <w:pPr>
        <w:pStyle w:val="BodyText"/>
      </w:pPr>
      <w:r>
        <w:t xml:space="preserve">The system implements a Temporal Knowledge Graph (TKG) using the NetworkX library to model supplier-buyer relationships from GST transaction data. The TKG enables: (i) Detection of multi-hop circular trading cycles (A → B → C → A) with temporal constraints using</w:t>
      </w:r>
      <w:r>
        <w:t xml:space="preserve"> </w:t>
      </w:r>
      <w:r>
        <w:rPr>
          <w:rStyle w:val="VerbatimChar"/>
        </w:rPr>
        <w:t xml:space="preserve">nx.simple_cycles()</w:t>
      </w:r>
      <w:r>
        <w:t xml:space="preserve"> </w:t>
      </w:r>
      <w:r>
        <w:t xml:space="preserve">on the directed transaction subgraph; (ii) Promoter network risk propagation with exponential temporal decay — the risk score associated with a director’s prior involvement with a fraudulent company decays according to the formula R(t) = R_base × e^(−λ × Δt), where λ = ln(2) / half_life_years and Δt is the elapsed time since the association.</w:t>
      </w:r>
    </w:p>
    <w:p>
      <w:pPr>
        <w:pStyle w:val="BodyText"/>
      </w:pPr>
      <w:r>
        <w:rPr>
          <w:b/>
          <w:bCs/>
        </w:rPr>
        <w:t xml:space="preserve">7. Automated Credit Appraisal Memorandum Generation</w:t>
      </w:r>
    </w:p>
    <w:p>
      <w:pPr>
        <w:pStyle w:val="BodyText"/>
      </w:pPr>
      <w:r>
        <w:t xml:space="preserve">The CAM Generator Agent produces a professional 10-page Credit Appraisal Memorandum in Microsoft Word (.docx) format using a 110-tag template rendered by the</w:t>
      </w:r>
      <w:r>
        <w:t xml:space="preserve"> </w:t>
      </w:r>
      <w:r>
        <w:rPr>
          <w:rStyle w:val="VerbatimChar"/>
        </w:rPr>
        <w:t xml:space="preserve">docxtpl</w:t>
      </w:r>
      <w:r>
        <w:t xml:space="preserve"> </w:t>
      </w:r>
      <w:r>
        <w:t xml:space="preserve">library. The agent retrieves intelligence from all 14 Qdrant collections and all 18 UCSO namespaces. A Large Language Model (Groq</w:t>
      </w:r>
      <w:r>
        <w:t xml:space="preserve"> </w:t>
      </w:r>
      <w:r>
        <w:rPr>
          <w:rStyle w:val="VerbatimChar"/>
        </w:rPr>
        <w:t xml:space="preserve">llama-3.3-70b-versatile</w:t>
      </w:r>
      <w:r>
        <w:t xml:space="preserve">) synthesizes qualitative sections such as management assessment and industry outlook. Missing data fields are auto-filled with context-aware realistic values using LLM inference rather than static defaults.</w:t>
      </w:r>
    </w:p>
    <w:p>
      <w:pPr>
        <w:pStyle w:val="BodyText"/>
      </w:pPr>
      <w:r>
        <w:rPr>
          <w:b/>
          <w:bCs/>
        </w:rPr>
        <w:t xml:space="preserve">8. Self-Healing Workflow Orchestrator</w:t>
      </w:r>
    </w:p>
    <w:p>
      <w:pPr>
        <w:pStyle w:val="BodyText"/>
      </w:pPr>
      <w:r>
        <w:t xml:space="preserve">A central Workflow Orchestrator running within the FastAPI backend continuously monitors the pipeline state. It implements a Transactional Outbox pattern — agent events are first written to a database outbox table, then asynchronously relayed to Redis Streams, ensuring no events are lost even if Redis is temporarily unavailable. A state reconciliation loop scans for stuck applications every 30 seconds. If an application has not progressed for more than 3 minutes, the orchestrator identifies the blocked stage and re-publishes the appropriate trigger event to resume the pipeline.</w:t>
      </w:r>
    </w:p>
    <w:bookmarkEnd w:id="9"/>
    <w:bookmarkStart w:id="10" w:name="Xe7354a471a5f764d999a3bc2707acceccd252e6"/>
    <w:p>
      <w:pPr>
        <w:pStyle w:val="Heading3"/>
      </w:pPr>
      <w:r>
        <w:t xml:space="preserve">1b) Does the invention provide a new use of or an improvement to, an existing product or process?</w:t>
      </w:r>
    </w:p>
    <w:p>
      <w:pPr>
        <w:pStyle w:val="FirstParagraph"/>
      </w:pPr>
      <w:r>
        <w:t xml:space="preserve">Yes. The invention provides a fundamental improvement over the existing commercial loan underwriting process:</w:t>
      </w:r>
    </w:p>
    <w:p>
      <w:pPr>
        <w:numPr>
          <w:ilvl w:val="0"/>
          <w:numId w:val="1001"/>
        </w:numPr>
      </w:pPr>
      <w:r>
        <w:rPr>
          <w:b/>
          <w:bCs/>
        </w:rPr>
        <w:t xml:space="preserve">Manual to Fully Automated</w:t>
      </w:r>
      <w:r>
        <w:t xml:space="preserve">: The current process requires a credit analyst to manually log into multiple government portals (GSTN, MCA21, CIBIL), download reports, input data into spreadsheet models, and produce a Credit Appraisal Memorandum — taking 3 to 5 business days. Trinetra automates this entire pipeline in approximately 60 seconds.</w:t>
      </w:r>
    </w:p>
    <w:p>
      <w:pPr>
        <w:numPr>
          <w:ilvl w:val="0"/>
          <w:numId w:val="1001"/>
        </w:numPr>
      </w:pPr>
      <w:r>
        <w:rPr>
          <w:b/>
          <w:bCs/>
        </w:rPr>
        <w:t xml:space="preserve">Sequential to Parallel Processing</w:t>
      </w:r>
      <w:r>
        <w:t xml:space="preserve">: In the manual process, verification steps occur sequentially. In Trinetra, 14 agents operate in parallel — compliance checks, document parsing, GST analysis, web intelligence gathering, and MCA verification execute simultaneously once triggered by upstream events.</w:t>
      </w:r>
    </w:p>
    <w:p>
      <w:pPr>
        <w:numPr>
          <w:ilvl w:val="0"/>
          <w:numId w:val="1001"/>
        </w:numPr>
      </w:pPr>
      <w:r>
        <w:rPr>
          <w:b/>
          <w:bCs/>
        </w:rPr>
        <w:t xml:space="preserve">Subjective to Explainable Decisions</w:t>
      </w:r>
      <w:r>
        <w:t xml:space="preserve">: Traditional credit decisions rely on the subjective judgment of individual analysts. Trinetra replaces this with ML-based risk scoring using SHAP and LIME that provide feature-level attribution for every decision.</w:t>
      </w:r>
    </w:p>
    <w:p>
      <w:pPr>
        <w:numPr>
          <w:ilvl w:val="0"/>
          <w:numId w:val="1001"/>
        </w:numPr>
      </w:pPr>
      <w:r>
        <w:rPr>
          <w:b/>
          <w:bCs/>
        </w:rPr>
        <w:t xml:space="preserve">Isolated to Cross-Referenced Data</w:t>
      </w:r>
      <w:r>
        <w:t xml:space="preserve">: Existing tools analyze financial data in isolation. Trinetra’s vector-memory architecture enables cross-referencing between financial ratios, GST fraud signals, court litigation records, news sentiment, and borrower interview transcripts within a single semantic search space.</w:t>
      </w:r>
    </w:p>
    <w:p>
      <w:pPr>
        <w:numPr>
          <w:ilvl w:val="0"/>
          <w:numId w:val="1001"/>
        </w:numPr>
      </w:pPr>
      <w:r>
        <w:rPr>
          <w:b/>
          <w:bCs/>
        </w:rPr>
        <w:t xml:space="preserve">Static Rules to Adaptive Intelligence</w:t>
      </w:r>
      <w:r>
        <w:t xml:space="preserve">: Traditional rule-based systems require code changes when regulations change. In Trinetra, compliance rules (RBI circulars, MCA guidelines) are stored as embedded vectors in Qdrant collections that can be updated without modifying application code.</w:t>
      </w:r>
    </w:p>
    <w:p>
      <w:pPr>
        <w:numPr>
          <w:ilvl w:val="0"/>
          <w:numId w:val="1001"/>
        </w:numPr>
      </w:pPr>
      <w:r>
        <w:rPr>
          <w:b/>
          <w:bCs/>
        </w:rPr>
        <w:t xml:space="preserve">No Fraud Detection to Graph-Based Fraud Detection</w:t>
      </w:r>
      <w:r>
        <w:t xml:space="preserve">: Current underwriting systems do not detect complex fraud patterns like circular trading rings. Trinetra’s Temporal Knowledge Graph detects multi-hop circular trading cycles and computes promoter-associated fraud risk with temporal decay.</w:t>
      </w:r>
    </w:p>
    <w:p>
      <w:r>
        <w:pict>
          <v:rect style="width:0;height:1.5pt" o:hralign="center" o:hrstd="t" o:hr="t"/>
        </w:pict>
      </w:r>
    </w:p>
    <w:bookmarkEnd w:id="10"/>
    <w:bookmarkEnd w:id="11"/>
    <w:bookmarkStart w:id="21" w:name="X99009c9ae0533268614d5ec8b8e9a0f868b6379"/>
    <w:p>
      <w:pPr>
        <w:pStyle w:val="Heading2"/>
      </w:pPr>
      <w:r>
        <w:t xml:space="preserve">2) From the description, identify and provide a detailed description of specific novel and unusual features.</w:t>
      </w:r>
    </w:p>
    <w:p>
      <w:pPr>
        <w:pStyle w:val="FirstParagraph"/>
      </w:pPr>
      <w:r>
        <w:t xml:space="preserve">Trinetra has several features that do not exist in current underwriting systems or have never been combined in this manner:</w:t>
      </w:r>
    </w:p>
    <w:bookmarkStart w:id="12" w:name="X46ec492f3b170ecb934676e2568c5130a5c942a"/>
    <w:p>
      <w:pPr>
        <w:pStyle w:val="Heading3"/>
      </w:pPr>
      <w:r>
        <w:t xml:space="preserve">1. Shared Vector-Memory Architecture for Multi-Agent Credit Analysis</w:t>
      </w:r>
    </w:p>
    <w:p>
      <w:pPr>
        <w:pStyle w:val="FirstParagraph"/>
      </w:pPr>
      <w:r>
        <w:t xml:space="preserve">Unlike conventional systems that use relational databases where each module reads and writes structured data independently, Trinetra’s 14 agents share a set of 14 vector database collections where findings are stored and retrieved as high-dimensional embeddings. This enables semantic similarity searches across heterogeneous data types. For example, the Risk Agent can search for</w:t>
      </w:r>
      <w:r>
        <w:t xml:space="preserve"> </w:t>
      </w:r>
      <w:r>
        <w:t xml:space="preserve">“companies with high GST discrepancy and declining revenue”</w:t>
      </w:r>
      <w:r>
        <w:t xml:space="preserve"> </w:t>
      </w:r>
      <w:r>
        <w:t xml:space="preserve">across</w:t>
      </w:r>
      <w:r>
        <w:t xml:space="preserve"> </w:t>
      </w:r>
      <w:r>
        <w:rPr>
          <w:rStyle w:val="VerbatimChar"/>
        </w:rPr>
        <w:t xml:space="preserve">gst_patterns</w:t>
      </w:r>
      <w:r>
        <w:t xml:space="preserve"> </w:t>
      </w:r>
      <w:r>
        <w:t xml:space="preserve">and</w:t>
      </w:r>
      <w:r>
        <w:t xml:space="preserve"> </w:t>
      </w:r>
      <w:r>
        <w:rPr>
          <w:rStyle w:val="VerbatimChar"/>
        </w:rPr>
        <w:t xml:space="preserve">financial_profiles</w:t>
      </w:r>
      <w:r>
        <w:t xml:space="preserve"> </w:t>
      </w:r>
      <w:r>
        <w:t xml:space="preserve">simultaneously, retrieving semantically similar patterns from past applications. This cross-collection intelligence sharing creates an institutional memory that improves with every processed application. No existing credit underwriting system combines multi-agent coordination with shared vector-memory for semantic reasoning.</w:t>
      </w:r>
    </w:p>
    <w:bookmarkEnd w:id="12"/>
    <w:bookmarkStart w:id="13" w:name="X06f12b54b0575cee19a4b67adc8bcfb859b36b6"/>
    <w:p>
      <w:pPr>
        <w:pStyle w:val="Heading3"/>
      </w:pPr>
      <w:r>
        <w:t xml:space="preserve">2. GST Circular Trading Detection via Temporal Knowledge Graph</w:t>
      </w:r>
    </w:p>
    <w:p>
      <w:pPr>
        <w:pStyle w:val="FirstParagraph"/>
      </w:pPr>
      <w:r>
        <w:t xml:space="preserve">Standard fraud detection systems compare individual transaction values against fixed thresholds, which cannot detect complex multi-entity fraud schemes. Trinetra constructs a directed graph of all supplier-buyer relationships from GST transaction data and applies cycle detection algorithms (</w:t>
      </w:r>
      <w:r>
        <w:rPr>
          <w:rStyle w:val="VerbatimChar"/>
        </w:rPr>
        <w:t xml:space="preserve">nx.simple_cycles()</w:t>
      </w:r>
      <w:r>
        <w:t xml:space="preserve">) to identify circular trading loops (e.g., Company A → Company B → Company C → Company A). Additionally, the system computes a promoter risk propagation score using exponential temporal decay: R(t) = R_base × e^(−λ × Δt), where λ = ln(2) / half_life_years. This combined graph-based cycle detection with temporal decay-weighted promoter risk is a novel approach not found in existing credit underwriting systems.</w:t>
      </w:r>
    </w:p>
    <w:bookmarkEnd w:id="13"/>
    <w:bookmarkStart w:id="14" w:name="X9d699b9fe0712f9e59c16a9834b1538d5fec9b8"/>
    <w:p>
      <w:pPr>
        <w:pStyle w:val="Heading3"/>
      </w:pPr>
      <w:r>
        <w:t xml:space="preserve">3. Tri-Lens Attention-Weighted Risk Scoring with Differential Privacy</w:t>
      </w:r>
    </w:p>
    <w:p>
      <w:pPr>
        <w:pStyle w:val="FirstParagraph"/>
      </w:pPr>
      <w:r>
        <w:t xml:space="preserve">The Tri-Lens algorithm is a novel risk scoring method that evaluates borrowers across three independent analytical lenses (Financial, Behavioral, Contextual) and fuses them using a dynamic attention mechanism. Unlike static weighted-average approaches, the attention weights in Tri-Lens adjust dynamically based on the confidence of each lens — defined as the proportion of available features out of the total expected features. If GST data is missing, the Behavioral Lens confidence drops, and the Financial and Contextual lenses automatically receive higher effective weights. The system optionally applies Differential Privacy using the Laplace mechanism (noise scale = sensitivity / epsilon) to the final risk score, enabling secure multi-institutional deployment where individual borrower scores cannot be reverse-engineered.</w:t>
      </w:r>
    </w:p>
    <w:bookmarkEnd w:id="14"/>
    <w:bookmarkStart w:id="15" w:name="privacy-preserving-federated-scoring"/>
    <w:p>
      <w:pPr>
        <w:pStyle w:val="Heading3"/>
      </w:pPr>
      <w:r>
        <w:t xml:space="preserve">4. Privacy-Preserving Federated Scoring</w:t>
      </w:r>
    </w:p>
    <w:p>
      <w:pPr>
        <w:pStyle w:val="FirstParagraph"/>
      </w:pPr>
      <w:r>
        <w:t xml:space="preserve">When data from multiple lending institutions flows through the system, individual borrower details could potentially be traced back. The Tri-Lens scorer supports optional Differential Privacy through a configurable epsilon parameter. When enabled, calibrated Laplace noise is added to the final risk score, ensuring that the output cannot be used to infer the exact input features of any individual borrower. This allows multiple banks to share a common risk-scoring infrastructure without exposing proprietary customer data.</w:t>
      </w:r>
    </w:p>
    <w:bookmarkEnd w:id="15"/>
    <w:bookmarkStart w:id="16" w:name="X0b9353536304064f2814bc0fb19ccf6d27bbe39"/>
    <w:p>
      <w:pPr>
        <w:pStyle w:val="Heading3"/>
      </w:pPr>
      <w:r>
        <w:t xml:space="preserve">5. Anti-Hallucination Consistency Engine for AI-Generated Credit Appraisals</w:t>
      </w:r>
    </w:p>
    <w:p>
      <w:pPr>
        <w:pStyle w:val="FirstParagraph"/>
      </w:pPr>
      <w:r>
        <w:t xml:space="preserve">Existing LLM-based report generators often hallucinate missing financial data to fulfill templated requirements, producing confident but mathematically impossible outputs. Trinetra introduces an Anti-Hallucination Consistency Engine that intercepts AI-generated data before document rendering. It performs deterministic cross-validation: recomputing the Interest Coverage Ratio (ICR) from EBITDA and Interest Expense, verifying EBITDA margins against Revenue, computing exact Bank vs. GST turnover divergence, and cross-referencing Aadhaar linkage flags against masked output requirements. If the AI-generated or extracted values violate these deterministic relationships, the engine automatically corrects the outputs or forces a</w:t>
      </w:r>
      <w:r>
        <w:t xml:space="preserve"> </w:t>
      </w:r>
      <w:r>
        <w:t xml:space="preserve">“Data pending”</w:t>
      </w:r>
      <w:r>
        <w:t xml:space="preserve"> </w:t>
      </w:r>
      <w:r>
        <w:t xml:space="preserve">failure state. This strictly enforces zero mathematical drift between the raw Unified Credit Schema Object (UCSO) and the final rendered Credit Appraisal Memorandum.</w:t>
      </w:r>
    </w:p>
    <w:bookmarkEnd w:id="16"/>
    <w:bookmarkStart w:id="17" w:name="Xd3717074bec23a8b8178711011852affdb7bef5"/>
    <w:p>
      <w:pPr>
        <w:pStyle w:val="Heading3"/>
      </w:pPr>
      <w:r>
        <w:t xml:space="preserve">6. Unified Searchable Space for Structured and Unstructured Data</w:t>
      </w:r>
    </w:p>
    <w:p>
      <w:pPr>
        <w:pStyle w:val="FirstParagraph"/>
      </w:pPr>
      <w:r>
        <w:t xml:space="preserve">Most credit scoring tools operate exclusively on structured numeric data (financial ratios, transaction amounts). Trinetra embeds all data types — structured financial metrics, unstructured news articles, legal filings, RBI regulatory circulars, borrower interview transcripts — into the same 384-dimensional vector space. This allows a single semantic query like</w:t>
      </w:r>
      <w:r>
        <w:t xml:space="preserve"> </w:t>
      </w:r>
      <w:r>
        <w:t xml:space="preserve">“high leverage with negative media coverage and ongoing litigation”</w:t>
      </w:r>
      <w:r>
        <w:t xml:space="preserve"> </w:t>
      </w:r>
      <w:r>
        <w:t xml:space="preserve">to retrieve relevant results spanning across financial profiles, news articles, and litigation records simultaneously, using Qdrant’s hybrid search (vector similarity + metadata key-value filters).</w:t>
      </w:r>
    </w:p>
    <w:bookmarkEnd w:id="17"/>
    <w:bookmarkStart w:id="18" w:name="Xd0a394be289c7d7337658c1846b0e74032654d4"/>
    <w:p>
      <w:pPr>
        <w:pStyle w:val="Heading3"/>
      </w:pPr>
      <w:r>
        <w:t xml:space="preserve">6. Automatic Best-Model Selection with Cross-Validation</w:t>
      </w:r>
    </w:p>
    <w:p>
      <w:pPr>
        <w:pStyle w:val="FirstParagraph"/>
      </w:pPr>
      <w:r>
        <w:t xml:space="preserve">Rather than locking credit decisions to a single fixed ML model, the Model Selector Agent trains three models in parallel — XGBoost, LightGBM, and Logistic Regression — on the same dataset for every application batch. It evaluates each model using AUC-ROC on a holdout validation set and automatically selects the best-performing model for inference. This ensures the system adapts to different borrower populations and economic conditions without manual model retraining or reconfiguration.</w:t>
      </w:r>
    </w:p>
    <w:bookmarkEnd w:id="18"/>
    <w:bookmarkStart w:id="19" w:name="Xcb8486d12de39eb5206c8dae2f49478df0043eb"/>
    <w:p>
      <w:pPr>
        <w:pStyle w:val="Heading3"/>
      </w:pPr>
      <w:r>
        <w:t xml:space="preserve">7. Built-In Counterfactual Fairness Testing on Every Decision</w:t>
      </w:r>
    </w:p>
    <w:p>
      <w:pPr>
        <w:pStyle w:val="FirstParagraph"/>
      </w:pPr>
      <w:r>
        <w:t xml:space="preserve">Instead of performing bias audits periodically, the Bias Agent runs a counterfactual fairness test on every single credit decision. For each of the top 3 SHAP-ranked risk features, the agent replaces the feature value with its population median and recomputes the risk score. If the decision flips (e.g., REJECT → APPROVE), that feature is flagged as</w:t>
      </w:r>
      <w:r>
        <w:t xml:space="preserve"> </w:t>
      </w:r>
      <w:r>
        <w:t xml:space="preserve">“overweighted”</w:t>
      </w:r>
      <w:r>
        <w:t xml:space="preserve"> </w:t>
      </w:r>
      <w:r>
        <w:t xml:space="preserve">and the decision is flagged for human review. This per-decision fairness check is novel in the credit underwriting domain where bias audits are typically performed retroactively on batches.</w:t>
      </w:r>
    </w:p>
    <w:bookmarkEnd w:id="19"/>
    <w:bookmarkStart w:id="20" w:name="X9c29b9849550385d014105c6e97fdb3c0e1d66f"/>
    <w:p>
      <w:pPr>
        <w:pStyle w:val="Heading3"/>
      </w:pPr>
      <w:r>
        <w:t xml:space="preserve">8. Self-Healing Pipeline with Crash Recovery and Automatic Reconciliation</w:t>
      </w:r>
    </w:p>
    <w:p>
      <w:pPr>
        <w:pStyle w:val="FirstParagraph"/>
      </w:pPr>
      <w:r>
        <w:t xml:space="preserve">The system uses Redis Streams Consumer Groups with Pending Entry List (PEL) management for crash recovery. If an agent crashes during processing, the message remains unacknowledged in the PEL. When the agent restarts, it first reads pending messages (using ID</w:t>
      </w:r>
      <w:r>
        <w:t xml:space="preserve"> </w:t>
      </w:r>
      <w:r>
        <w:rPr>
          <w:rStyle w:val="VerbatimChar"/>
        </w:rPr>
        <w:t xml:space="preserve">0</w:t>
      </w:r>
      <w:r>
        <w:t xml:space="preserve">) before consuming new messages (using ID</w:t>
      </w:r>
      <w:r>
        <w:t xml:space="preserve"> </w:t>
      </w:r>
      <w:r>
        <w:rPr>
          <w:rStyle w:val="VerbatimChar"/>
        </w:rPr>
        <w:t xml:space="preserve">&gt;</w:t>
      </w:r>
      <w:r>
        <w:t xml:space="preserve">), guaranteeing exactly-once processing without message loss. Additionally, a central Workflow Orchestrator scans for stuck applications every 30 seconds and automatically re-triggers the appropriate pipeline stage, making the system self-healing without manual intervention.</w:t>
      </w:r>
    </w:p>
    <w:p>
      <w:r>
        <w:pict>
          <v:rect style="width:0;height:1.5pt" o:hralign="center" o:hrstd="t" o:hr="t"/>
        </w:pict>
      </w:r>
    </w:p>
    <w:bookmarkEnd w:id="20"/>
    <w:bookmarkEnd w:id="21"/>
    <w:bookmarkStart w:id="22" w:name="X8cfba9e06b5a492d7c3f42b4678a6ab6b6f9ecd"/>
    <w:p>
      <w:pPr>
        <w:pStyle w:val="Heading2"/>
      </w:pPr>
      <w:r>
        <w:t xml:space="preserve">3) How does the invention differ from present technology? What problems does it solve, or what advantages does it possess?</w:t>
      </w:r>
    </w:p>
    <w:p>
      <w:pPr>
        <w:pStyle w:val="FirstParagraph"/>
      </w:pPr>
      <w:r>
        <w:t xml:space="preserve">There are two categories of existing technology that address parts of the same problem:</w:t>
      </w:r>
    </w:p>
    <w:p>
      <w:pPr>
        <w:pStyle w:val="BodyText"/>
      </w:pPr>
      <w:r>
        <w:rPr>
          <w:b/>
          <w:bCs/>
        </w:rPr>
        <w:t xml:space="preserve">Category 1: OCR and Document Digitization Software</w:t>
      </w:r>
    </w:p>
    <w:p>
      <w:pPr>
        <w:pStyle w:val="BodyText"/>
      </w:pPr>
      <w:r>
        <w:t xml:space="preserve">Existing OCR tools (ABBYY, Nanonets, Google Document AI) convert text from financial documents into digital form but do not analyze the content. They produce raw text or structured fields but cannot derive financial ratios, detect fraud patterns, or produce risk assessments.</w:t>
      </w:r>
    </w:p>
    <w:p>
      <w:pPr>
        <w:pStyle w:val="BodyText"/>
      </w:pPr>
      <w:r>
        <w:rPr>
          <w:b/>
          <w:bCs/>
        </w:rPr>
        <w:t xml:space="preserve">Category 2: Rule-Based Scoring Engines</w:t>
      </w:r>
    </w:p>
    <w:p>
      <w:pPr>
        <w:pStyle w:val="BodyText"/>
      </w:pPr>
      <w:r>
        <w:t xml:space="preserve">Banks currently employ rule-based scoring engines that analyze structured numeric data using predetermined formulas. Their fundamental limitation is the inability to process unstructured data and the inability to detect complex multi-entity fraud patterns that require graph analysis.</w:t>
      </w:r>
    </w:p>
    <w:p>
      <w:pPr>
        <w:pStyle w:val="BodyText"/>
      </w:pPr>
      <w:r>
        <w:rPr>
          <w:b/>
          <w:bCs/>
        </w:rPr>
        <w:t xml:space="preserve">How Trinetra Differs:</w:t>
      </w:r>
    </w:p>
    <w:p>
      <w:pPr>
        <w:pStyle w:val="BodyText"/>
      </w:pPr>
      <w:r>
        <w:t xml:space="preserve">Unlike both categories, Trinetra combines document processing, semantic analysis, graph-based fraud detection, ML-based risk scoring with explainability, fairness auditing, and automated report generation within a single integrated platform:</w:t>
      </w:r>
    </w:p>
    <w:p>
      <w:pPr>
        <w:pStyle w:val="Compact"/>
        <w:numPr>
          <w:ilvl w:val="0"/>
          <w:numId w:val="1002"/>
        </w:numPr>
      </w:pPr>
      <w:r>
        <w:rPr>
          <w:b/>
          <w:bCs/>
        </w:rPr>
        <w:t xml:space="preserve">Vector-memory reasoning</w:t>
      </w:r>
      <w:r>
        <w:t xml:space="preserve">: All 14 agents read from and write to shared Qdrant vector collections, enabling semantic cross-referencing between heterogeneous data sources that no rule-based or OCR system can perform.</w:t>
      </w:r>
    </w:p>
    <w:p>
      <w:pPr>
        <w:pStyle w:val="Compact"/>
        <w:numPr>
          <w:ilvl w:val="0"/>
          <w:numId w:val="1002"/>
        </w:numPr>
      </w:pPr>
      <w:r>
        <w:rPr>
          <w:b/>
          <w:bCs/>
        </w:rPr>
        <w:t xml:space="preserve">Graph-based fraud detection</w:t>
      </w:r>
      <w:r>
        <w:t xml:space="preserve">: The Temporal Knowledge Graph detects circular trading cycles and promoter-linked fraud risks — capabilities absent in all existing rule-based scoring engines.</w:t>
      </w:r>
    </w:p>
    <w:p>
      <w:pPr>
        <w:pStyle w:val="Compact"/>
        <w:numPr>
          <w:ilvl w:val="0"/>
          <w:numId w:val="1002"/>
        </w:numPr>
      </w:pPr>
      <w:r>
        <w:rPr>
          <w:b/>
          <w:bCs/>
        </w:rPr>
        <w:t xml:space="preserve">Explainable AI</w:t>
      </w:r>
      <w:r>
        <w:t xml:space="preserve">: Every risk decision includes SHAP feature attributions showing exactly which factors contributed and by how much.</w:t>
      </w:r>
    </w:p>
    <w:p>
      <w:pPr>
        <w:pStyle w:val="Compact"/>
        <w:numPr>
          <w:ilvl w:val="0"/>
          <w:numId w:val="1002"/>
        </w:numPr>
      </w:pPr>
      <w:r>
        <w:rPr>
          <w:b/>
          <w:bCs/>
        </w:rPr>
        <w:t xml:space="preserve">Adaptive model selection</w:t>
      </w:r>
      <w:r>
        <w:t xml:space="preserve">: The system automatically evaluates and selects the best ML model for each application batch.</w:t>
      </w:r>
    </w:p>
    <w:p>
      <w:pPr>
        <w:pStyle w:val="Compact"/>
        <w:numPr>
          <w:ilvl w:val="0"/>
          <w:numId w:val="1002"/>
        </w:numPr>
      </w:pPr>
      <w:r>
        <w:rPr>
          <w:b/>
          <w:bCs/>
        </w:rPr>
        <w:t xml:space="preserve">End-to-end automation</w:t>
      </w:r>
      <w:r>
        <w:t xml:space="preserve">: From raw PDF upload to a professional 10-page CAM report, the entire underwriting pipeline is automated.</w:t>
      </w:r>
    </w:p>
    <w:p>
      <w:pPr>
        <w:pStyle w:val="FirstParagraph"/>
      </w:pPr>
      <w:r>
        <w:rPr>
          <w:b/>
          <w:bCs/>
        </w:rPr>
        <w:t xml:space="preserve">Advantages:</w:t>
      </w:r>
    </w:p>
    <w:p>
      <w:pPr>
        <w:pStyle w:val="Compact"/>
        <w:numPr>
          <w:ilvl w:val="0"/>
          <w:numId w:val="1003"/>
        </w:numPr>
      </w:pPr>
      <w:r>
        <w:t xml:space="preserve">Processes both structured and unstructured data within a unified semantic space.</w:t>
      </w:r>
    </w:p>
    <w:p>
      <w:pPr>
        <w:pStyle w:val="Compact"/>
        <w:numPr>
          <w:ilvl w:val="0"/>
          <w:numId w:val="1003"/>
        </w:numPr>
      </w:pPr>
      <w:r>
        <w:t xml:space="preserve">Detects complex multi-entity fraud schemes invisible to rule-based systems.</w:t>
      </w:r>
    </w:p>
    <w:p>
      <w:pPr>
        <w:pStyle w:val="Compact"/>
        <w:numPr>
          <w:ilvl w:val="0"/>
          <w:numId w:val="1003"/>
        </w:numPr>
      </w:pPr>
      <w:r>
        <w:t xml:space="preserve">Provides explainable, auditable decisions with feature-level attribution.</w:t>
      </w:r>
    </w:p>
    <w:p>
      <w:pPr>
        <w:pStyle w:val="Compact"/>
        <w:numPr>
          <w:ilvl w:val="0"/>
          <w:numId w:val="1003"/>
        </w:numPr>
      </w:pPr>
      <w:r>
        <w:t xml:space="preserve">Reduces underwriting time from 3–5 business days to approximately 60 seconds.</w:t>
      </w:r>
    </w:p>
    <w:p>
      <w:pPr>
        <w:pStyle w:val="Compact"/>
        <w:numPr>
          <w:ilvl w:val="0"/>
          <w:numId w:val="1003"/>
        </w:numPr>
      </w:pPr>
      <w:r>
        <w:t xml:space="preserve">Adapts to changing regulations without code modifications.</w:t>
      </w:r>
    </w:p>
    <w:p>
      <w:r>
        <w:pict>
          <v:rect style="width:0;height:1.5pt" o:hralign="center" o:hrstd="t" o:hr="t"/>
        </w:pict>
      </w:r>
    </w:p>
    <w:bookmarkEnd w:id="22"/>
    <w:bookmarkStart w:id="23" w:name="Xfa70305afd5f852ea95d16017eb2a04a3cb7bb9"/>
    <w:p>
      <w:pPr>
        <w:pStyle w:val="Heading2"/>
      </w:pPr>
      <w:r>
        <w:t xml:space="preserve">4) Describe uses, applications and benefits of the invention.</w:t>
      </w:r>
    </w:p>
    <w:p>
      <w:pPr>
        <w:pStyle w:val="FirstParagraph"/>
      </w:pPr>
      <w:r>
        <w:rPr>
          <w:b/>
          <w:bCs/>
        </w:rPr>
        <w:t xml:space="preserve">Primary Application: Commercial Credit Underwriting</w:t>
      </w:r>
    </w:p>
    <w:p>
      <w:pPr>
        <w:pStyle w:val="BodyText"/>
      </w:pPr>
      <w:r>
        <w:t xml:space="preserve">The system is built for automated credit underwriting of SME and corporate borrowers applying for business loans, working capital facilities, supply chain finance, or invoice discounting.</w:t>
      </w:r>
    </w:p>
    <w:p>
      <w:pPr>
        <w:pStyle w:val="BodyText"/>
      </w:pPr>
      <w:r>
        <w:rPr>
          <w:b/>
          <w:bCs/>
        </w:rPr>
        <w:t xml:space="preserve">Target Users:</w:t>
      </w:r>
    </w:p>
    <w:p>
      <w:pPr>
        <w:pStyle w:val="Compact"/>
        <w:numPr>
          <w:ilvl w:val="0"/>
          <w:numId w:val="1004"/>
        </w:numPr>
      </w:pPr>
      <w:r>
        <w:t xml:space="preserve">Commercial banks and NBFCs performing high-volume SME or corporate lending</w:t>
      </w:r>
    </w:p>
    <w:p>
      <w:pPr>
        <w:pStyle w:val="Compact"/>
        <w:numPr>
          <w:ilvl w:val="0"/>
          <w:numId w:val="1004"/>
        </w:numPr>
      </w:pPr>
      <w:r>
        <w:t xml:space="preserve">B2B fintech lenders and digital lending platforms</w:t>
      </w:r>
    </w:p>
    <w:p>
      <w:pPr>
        <w:pStyle w:val="Compact"/>
        <w:numPr>
          <w:ilvl w:val="0"/>
          <w:numId w:val="1004"/>
        </w:numPr>
      </w:pPr>
      <w:r>
        <w:t xml:space="preserve">Large corporations operating supply chain finance or vendor financing programmes</w:t>
      </w:r>
    </w:p>
    <w:p>
      <w:pPr>
        <w:pStyle w:val="Compact"/>
        <w:numPr>
          <w:ilvl w:val="0"/>
          <w:numId w:val="1004"/>
        </w:numPr>
      </w:pPr>
      <w:r>
        <w:t xml:space="preserve">Credit rating agencies seeking automated preliminary assessments</w:t>
      </w:r>
    </w:p>
    <w:p>
      <w:pPr>
        <w:pStyle w:val="FirstParagraph"/>
      </w:pPr>
      <w:r>
        <w:rPr>
          <w:b/>
          <w:bCs/>
        </w:rPr>
        <w:t xml:space="preserve">Major Use Cases:</w:t>
      </w:r>
    </w:p>
    <w:p>
      <w:pPr>
        <w:pStyle w:val="Compact"/>
        <w:numPr>
          <w:ilvl w:val="0"/>
          <w:numId w:val="1005"/>
        </w:numPr>
      </w:pPr>
      <w:r>
        <w:rPr>
          <w:b/>
          <w:bCs/>
        </w:rPr>
        <w:t xml:space="preserve">New Loan Origination</w:t>
      </w:r>
      <w:r>
        <w:t xml:space="preserve">: Accepts financial documents and produces a complete Credit Appraisal Memorandum in approximately 60 seconds.</w:t>
      </w:r>
    </w:p>
    <w:p>
      <w:pPr>
        <w:pStyle w:val="Compact"/>
        <w:numPr>
          <w:ilvl w:val="0"/>
          <w:numId w:val="1005"/>
        </w:numPr>
      </w:pPr>
      <w:r>
        <w:rPr>
          <w:b/>
          <w:bCs/>
        </w:rPr>
        <w:t xml:space="preserve">Supply Chain Finance</w:t>
      </w:r>
      <w:r>
        <w:t xml:space="preserve">: Assesses multiple vendors and buyers rapidly within tight settlement windows.</w:t>
      </w:r>
    </w:p>
    <w:p>
      <w:pPr>
        <w:pStyle w:val="Compact"/>
        <w:numPr>
          <w:ilvl w:val="0"/>
          <w:numId w:val="1005"/>
        </w:numPr>
      </w:pPr>
      <w:r>
        <w:rPr>
          <w:b/>
          <w:bCs/>
        </w:rPr>
        <w:t xml:space="preserve">Annual Credit Reviews</w:t>
      </w:r>
      <w:r>
        <w:t xml:space="preserve">: Automates periodic re-evaluation of existing borrowers.</w:t>
      </w:r>
    </w:p>
    <w:p>
      <w:pPr>
        <w:pStyle w:val="Compact"/>
        <w:numPr>
          <w:ilvl w:val="0"/>
          <w:numId w:val="1005"/>
        </w:numPr>
      </w:pPr>
      <w:r>
        <w:rPr>
          <w:b/>
          <w:bCs/>
        </w:rPr>
        <w:t xml:space="preserve">Vendor Due Diligence</w:t>
      </w:r>
      <w:r>
        <w:t xml:space="preserve">: Checks financial health of multiple vendors simultaneously.</w:t>
      </w:r>
    </w:p>
    <w:p>
      <w:pPr>
        <w:pStyle w:val="Compact"/>
        <w:numPr>
          <w:ilvl w:val="0"/>
          <w:numId w:val="1005"/>
        </w:numPr>
      </w:pPr>
      <w:r>
        <w:rPr>
          <w:b/>
          <w:bCs/>
        </w:rPr>
        <w:t xml:space="preserve">Counterparty Risk Scoring</w:t>
      </w:r>
      <w:r>
        <w:t xml:space="preserve">: Evaluates counterparty creditworthiness in real-time.</w:t>
      </w:r>
    </w:p>
    <w:p>
      <w:pPr>
        <w:pStyle w:val="FirstParagraph"/>
      </w:pPr>
      <w:r>
        <w:rPr>
          <w:b/>
          <w:bCs/>
        </w:rPr>
        <w:t xml:space="preserve">Key Benefits:</w:t>
      </w:r>
    </w:p>
    <w:p>
      <w:pPr>
        <w:pStyle w:val="Compact"/>
        <w:numPr>
          <w:ilvl w:val="0"/>
          <w:numId w:val="1006"/>
        </w:numPr>
      </w:pPr>
      <w:r>
        <w:rPr>
          <w:b/>
          <w:bCs/>
        </w:rPr>
        <w:t xml:space="preserve">Speed</w:t>
      </w:r>
      <w:r>
        <w:t xml:space="preserve">: 3–5 business days reduced to approximately 60 seconds.</w:t>
      </w:r>
    </w:p>
    <w:p>
      <w:pPr>
        <w:pStyle w:val="Compact"/>
        <w:numPr>
          <w:ilvl w:val="0"/>
          <w:numId w:val="1006"/>
        </w:numPr>
      </w:pPr>
      <w:r>
        <w:rPr>
          <w:b/>
          <w:bCs/>
        </w:rPr>
        <w:t xml:space="preserve">Cost Reduction</w:t>
      </w:r>
      <w:r>
        <w:t xml:space="preserve">: Data collection, calculations, and report writing fully automated.</w:t>
      </w:r>
    </w:p>
    <w:p>
      <w:pPr>
        <w:pStyle w:val="Compact"/>
        <w:numPr>
          <w:ilvl w:val="0"/>
          <w:numId w:val="1006"/>
        </w:numPr>
      </w:pPr>
      <w:r>
        <w:rPr>
          <w:b/>
          <w:bCs/>
        </w:rPr>
        <w:t xml:space="preserve">Improved Fraud Detection</w:t>
      </w:r>
      <w:r>
        <w:t xml:space="preserve">: Circular trading patterns detected automatically through graph analysis.</w:t>
      </w:r>
    </w:p>
    <w:p>
      <w:pPr>
        <w:pStyle w:val="Compact"/>
        <w:numPr>
          <w:ilvl w:val="0"/>
          <w:numId w:val="1006"/>
        </w:numPr>
      </w:pPr>
      <w:r>
        <w:rPr>
          <w:b/>
          <w:bCs/>
        </w:rPr>
        <w:t xml:space="preserve">Consistency and Auditability</w:t>
      </w:r>
      <w:r>
        <w:t xml:space="preserve">: Decisions from reproducible calculations with SHAP explanations.</w:t>
      </w:r>
    </w:p>
    <w:p>
      <w:pPr>
        <w:pStyle w:val="Compact"/>
        <w:numPr>
          <w:ilvl w:val="0"/>
          <w:numId w:val="1006"/>
        </w:numPr>
      </w:pPr>
      <w:r>
        <w:rPr>
          <w:b/>
          <w:bCs/>
        </w:rPr>
        <w:t xml:space="preserve">Regulatory Compliance</w:t>
      </w:r>
      <w:r>
        <w:t xml:space="preserve">: Every decision includes clear explanation of contributing factors.</w:t>
      </w:r>
    </w:p>
    <w:p>
      <w:pPr>
        <w:pStyle w:val="Compact"/>
        <w:numPr>
          <w:ilvl w:val="0"/>
          <w:numId w:val="1006"/>
        </w:numPr>
      </w:pPr>
      <w:r>
        <w:rPr>
          <w:b/>
          <w:bCs/>
        </w:rPr>
        <w:t xml:space="preserve">Adaptive Compliance</w:t>
      </w:r>
      <w:r>
        <w:t xml:space="preserve">: Regulatory updates embedded as vectors — no code changes needed.</w:t>
      </w:r>
    </w:p>
    <w:p>
      <w:pPr>
        <w:pStyle w:val="FirstParagraph"/>
      </w:pPr>
      <w:r>
        <w:rPr>
          <w:b/>
          <w:bCs/>
        </w:rPr>
        <w:t xml:space="preserve">Business Model:</w:t>
      </w:r>
    </w:p>
    <w:p>
      <w:pPr>
        <w:pStyle w:val="Compact"/>
        <w:numPr>
          <w:ilvl w:val="0"/>
          <w:numId w:val="1007"/>
        </w:numPr>
      </w:pPr>
      <w:r>
        <w:t xml:space="preserve">SaaS with per-appraisal pricing for variable volumes</w:t>
      </w:r>
    </w:p>
    <w:p>
      <w:pPr>
        <w:pStyle w:val="Compact"/>
        <w:numPr>
          <w:ilvl w:val="0"/>
          <w:numId w:val="1007"/>
        </w:numPr>
      </w:pPr>
      <w:r>
        <w:t xml:space="preserve">Annual licensing for steady high volumes</w:t>
      </w:r>
    </w:p>
    <w:p>
      <w:pPr>
        <w:pStyle w:val="Compact"/>
        <w:numPr>
          <w:ilvl w:val="0"/>
          <w:numId w:val="1007"/>
        </w:numPr>
      </w:pPr>
      <w:r>
        <w:t xml:space="preserve">White-labelled platform for smaller banks</w:t>
      </w:r>
    </w:p>
    <w:p>
      <w:pPr>
        <w:pStyle w:val="FirstParagraph"/>
      </w:pPr>
      <w:r>
        <w:rPr>
          <w:b/>
          <w:bCs/>
        </w:rPr>
        <w:t xml:space="preserve">Market Size:</w:t>
      </w:r>
    </w:p>
    <w:p>
      <w:pPr>
        <w:pStyle w:val="Compact"/>
        <w:numPr>
          <w:ilvl w:val="0"/>
          <w:numId w:val="1008"/>
        </w:numPr>
      </w:pPr>
      <w:r>
        <w:t xml:space="preserve">India’s commercial credit market: ₹152 trillion</w:t>
      </w:r>
    </w:p>
    <w:p>
      <w:pPr>
        <w:pStyle w:val="Compact"/>
        <w:numPr>
          <w:ilvl w:val="0"/>
          <w:numId w:val="1008"/>
        </w:numPr>
      </w:pPr>
      <w:r>
        <w:t xml:space="preserve">Global digital lending market: projected USD 30 billion by 2030</w:t>
      </w:r>
    </w:p>
    <w:p>
      <w:pPr>
        <w:pStyle w:val="Compact"/>
        <w:numPr>
          <w:ilvl w:val="0"/>
          <w:numId w:val="1008"/>
        </w:numPr>
      </w:pPr>
      <w:r>
        <w:t xml:space="preserve">Indian SME lending: growing at 15% CAGR</w:t>
      </w:r>
    </w:p>
    <w:p>
      <w:r>
        <w:pict>
          <v:rect style="width:0;height:1.5pt" o:hralign="center" o:hrstd="t" o:hr="t"/>
        </w:pict>
      </w:r>
    </w:p>
    <w:bookmarkEnd w:id="23"/>
    <w:bookmarkStart w:id="29" w:name="X1775e6cd97949be5f012212f90bdb6e47a37890"/>
    <w:p>
      <w:pPr>
        <w:pStyle w:val="Heading2"/>
      </w:pPr>
      <w:r>
        <w:t xml:space="preserve">5) Characterize the disadvantages and limitations of the invention.</w:t>
      </w:r>
    </w:p>
    <w:bookmarkStart w:id="24" w:name="dependency-on-ocr-extraction-quality"/>
    <w:p>
      <w:pPr>
        <w:pStyle w:val="Heading3"/>
      </w:pPr>
      <w:r>
        <w:t xml:space="preserve">1. Dependency on OCR Extraction Quality</w:t>
      </w:r>
    </w:p>
    <w:p>
      <w:pPr>
        <w:pStyle w:val="FirstParagraph"/>
      </w:pPr>
      <w:r>
        <w:t xml:space="preserve">All financial figures are extracted from PDF documents through OCR. Poor quality scans or handwritten documents can produce incorrect extractions.</w:t>
      </w:r>
      <w:r>
        <w:t xml:space="preserve"> </w:t>
      </w:r>
      <w:r>
        <w:rPr>
          <w:b/>
          <w:bCs/>
        </w:rPr>
        <w:t xml:space="preserve">Mitigation</w:t>
      </w:r>
      <w:r>
        <w:t xml:space="preserve">: The Document Agent computes a confidence score for each extracted field. Fields with confidence below a configurable threshold are flagged for manual review. Future versions will implement dual-extraction verification using a secondary OCR engine.</w:t>
      </w:r>
    </w:p>
    <w:bookmarkEnd w:id="24"/>
    <w:bookmarkStart w:id="25" w:name="Xe49af5ae8023f63dd0f8ce250a7a10990967236"/>
    <w:p>
      <w:pPr>
        <w:pStyle w:val="Heading3"/>
      </w:pPr>
      <w:r>
        <w:t xml:space="preserve">2. Operational Complexity of Multi-Agent System</w:t>
      </w:r>
    </w:p>
    <w:p>
      <w:pPr>
        <w:pStyle w:val="FirstParagraph"/>
      </w:pPr>
      <w:r>
        <w:t xml:space="preserve">Running 14 independent agents through an event-driven distributed system is more complex to operate than a monolithic application.</w:t>
      </w:r>
      <w:r>
        <w:t xml:space="preserve"> </w:t>
      </w:r>
      <w:r>
        <w:rPr>
          <w:b/>
          <w:bCs/>
        </w:rPr>
        <w:t xml:space="preserve">Mitigation</w:t>
      </w:r>
      <w:r>
        <w:t xml:space="preserve">: The Monitor Agent tracks pipeline health through heartbeat events. The Workflow Orchestrator’s state reconciliation loop automatically detects and re-triggers stuck pipeline stages every 30 seconds. Distributed trace IDs propagate through all agent interactions for end-to-end request tracing.</w:t>
      </w:r>
    </w:p>
    <w:bookmarkEnd w:id="25"/>
    <w:bookmarkStart w:id="26" w:name="Xf7c181cb6d1ed523ab0a21a965080de12dcd8a5"/>
    <w:p>
      <w:pPr>
        <w:pStyle w:val="Heading3"/>
      </w:pPr>
      <w:r>
        <w:t xml:space="preserve">3. Dependency on External Government Portals</w:t>
      </w:r>
    </w:p>
    <w:p>
      <w:pPr>
        <w:pStyle w:val="FirstParagraph"/>
      </w:pPr>
      <w:r>
        <w:t xml:space="preserve">Several agents pull data from government portals (MCA21, GSTN, SurePass API) which the system cannot control.</w:t>
      </w:r>
      <w:r>
        <w:t xml:space="preserve"> </w:t>
      </w:r>
      <w:r>
        <w:rPr>
          <w:b/>
          <w:bCs/>
        </w:rPr>
        <w:t xml:space="preserve">Mitigation</w:t>
      </w:r>
      <w:r>
        <w:t xml:space="preserve">: Each agent implements graceful degradation — if the external API call fails, the agent records the failure and allows downstream agents to proceed with available data. The Workflow Orchestrator can retry failed stages when the external service recovers.</w:t>
      </w:r>
    </w:p>
    <w:bookmarkEnd w:id="26"/>
    <w:bookmarkStart w:id="27" w:name="model-accuracy-variation-across-sectors"/>
    <w:p>
      <w:pPr>
        <w:pStyle w:val="Heading3"/>
      </w:pPr>
      <w:r>
        <w:t xml:space="preserve">4. Model Accuracy Variation Across Sectors</w:t>
      </w:r>
    </w:p>
    <w:p>
      <w:pPr>
        <w:pStyle w:val="FirstParagraph"/>
      </w:pPr>
      <w:r>
        <w:t xml:space="preserve">The ML models are trained on historical data and may be less accurate for underrepresented sectors.</w:t>
      </w:r>
      <w:r>
        <w:t xml:space="preserve"> </w:t>
      </w:r>
      <w:r>
        <w:rPr>
          <w:b/>
          <w:bCs/>
        </w:rPr>
        <w:t xml:space="preserve">Mitigation</w:t>
      </w:r>
      <w:r>
        <w:t xml:space="preserve">: The Model Selector Agent performs per-batch cross-validation and selects the best model dynamically. The Tri-Lens algorithm uses sector-adaptive normalization with industry-specific statistical profiles.</w:t>
      </w:r>
    </w:p>
    <w:bookmarkEnd w:id="27"/>
    <w:bookmarkStart w:id="28" w:name="llm-dependency-for-qualitative-sections"/>
    <w:p>
      <w:pPr>
        <w:pStyle w:val="Heading3"/>
      </w:pPr>
      <w:r>
        <w:t xml:space="preserve">5. LLM Dependency for Qualitative Sections</w:t>
      </w:r>
    </w:p>
    <w:p>
      <w:pPr>
        <w:pStyle w:val="FirstParagraph"/>
      </w:pPr>
      <w:r>
        <w:t xml:space="preserve">The CAM Generator Agent uses a Large Language Model to synthesize qualitative report sections. LLM outputs can occasionally contain inconsistencies.</w:t>
      </w:r>
      <w:r>
        <w:t xml:space="preserve"> </w:t>
      </w:r>
      <w:r>
        <w:rPr>
          <w:b/>
          <w:bCs/>
        </w:rPr>
        <w:t xml:space="preserve">Mitigation</w:t>
      </w:r>
      <w:r>
        <w:t xml:space="preserve">: The LLM is used solely for synthesizing narratives from verified structured data. All quantitative fields are computed deterministically by the respective agents and are not LLM-generated.</w:t>
      </w:r>
    </w:p>
    <w:p>
      <w:r>
        <w:pict>
          <v:rect style="width:0;height:1.5pt" o:hralign="center" o:hrstd="t" o:hr="t"/>
        </w:pict>
      </w:r>
    </w:p>
    <w:bookmarkEnd w:id="28"/>
    <w:bookmarkEnd w:id="29"/>
    <w:bookmarkStart w:id="35" w:name="Xae10dc009cf8f92df40732f97a92d690fe884a9"/>
    <w:p>
      <w:pPr>
        <w:pStyle w:val="Heading2"/>
      </w:pPr>
      <w:r>
        <w:t xml:space="preserve">6) Enclose sketches, drawings, photographs and other materials that help illustrate the invention.</w:t>
      </w:r>
    </w:p>
    <w:bookmarkStart w:id="30" w:name="figure-1-system-architecture"/>
    <w:p>
      <w:pPr>
        <w:pStyle w:val="Heading3"/>
      </w:pPr>
      <w:r>
        <w:t xml:space="preserve">Figure 1: System Architecture</w:t>
      </w:r>
    </w:p>
    <w:p>
      <w:pPr>
        <w:pStyle w:val="FirstParagraph"/>
      </w:pPr>
      <w:r>
        <w:t xml:space="preserve">The system consists of three layers:</w:t>
      </w:r>
    </w:p>
    <w:p>
      <w:pPr>
        <w:pStyle w:val="BodyText"/>
      </w:pPr>
      <w:r>
        <w:rPr>
          <w:b/>
          <w:bCs/>
        </w:rPr>
        <w:t xml:space="preserve">Layer 1 — Frontend (React 19 + Vite)</w:t>
      </w:r>
      <w:r>
        <w:t xml:space="preserve">: Dashboard, Data Ingestor, Agent Pipeline Viewer, Qdrant Vector Explorer, Recommendation Engine.</w:t>
      </w:r>
    </w:p>
    <w:p>
      <w:pPr>
        <w:pStyle w:val="BodyText"/>
      </w:pPr>
      <w:r>
        <w:rPr>
          <w:b/>
          <w:bCs/>
        </w:rPr>
        <w:t xml:space="preserve">Layer 2 — Backend Orchestrator (FastAPI)</w:t>
      </w:r>
      <w:r>
        <w:t xml:space="preserve">: REST APIs, WebSocket Manager, Redis Pub/Sub Broker, Workflow Orchestrator with transactional outbox and state reconciliation, middleware (CSP, HSTS, trace IDs, CORS).</w:t>
      </w:r>
    </w:p>
    <w:p>
      <w:pPr>
        <w:pStyle w:val="BodyText"/>
      </w:pPr>
      <w:r>
        <w:rPr>
          <w:b/>
          <w:bCs/>
        </w:rPr>
        <w:t xml:space="preserve">Layer 3 — Intelligence Layer</w:t>
      </w:r>
      <w:r>
        <w:t xml:space="preserve">: Qdrant Vector Database (14 collections, 384-dim, Cosine), Redis Streams (event bus with consumer groups), PostgreSQL (application metadata), 14 AI Agents.</w:t>
      </w:r>
    </w:p>
    <w:p>
      <w:pPr>
        <w:pStyle w:val="BodyText"/>
      </w:pPr>
      <w:r>
        <w:rPr>
          <w:i/>
          <w:iCs/>
        </w:rPr>
        <w:t xml:space="preserve">[Insert Architecture Diagram]</w:t>
      </w:r>
    </w:p>
    <w:bookmarkEnd w:id="30"/>
    <w:bookmarkStart w:id="31" w:name="figure-2-agent-pipeline-event-flow"/>
    <w:p>
      <w:pPr>
        <w:pStyle w:val="Heading3"/>
      </w:pPr>
      <w:r>
        <w:t xml:space="preserve">Figure 2: Agent Pipeline Event Flow</w:t>
      </w:r>
    </w:p>
    <w:p>
      <w:pPr>
        <w:pStyle w:val="SourceCode"/>
      </w:pPr>
      <w:r>
        <w:rPr>
          <w:rStyle w:val="VerbatimChar"/>
        </w:rPr>
        <w:t xml:space="preserve">application_created → [compliance-agent, pan-agent]</w:t>
      </w:r>
      <w:r>
        <w:br/>
      </w:r>
      <w:r>
        <w:rPr>
          <w:rStyle w:val="VerbatimChar"/>
        </w:rPr>
        <w:t xml:space="preserve">documents_uploaded → [doc-agent]</w:t>
      </w:r>
      <w:r>
        <w:br/>
      </w:r>
      <w:r>
        <w:rPr>
          <w:rStyle w:val="VerbatimChar"/>
        </w:rPr>
        <w:t xml:space="preserve">documents_parsed → [gst-agent, mca-agent, web-agent]</w:t>
      </w:r>
      <w:r>
        <w:br/>
      </w:r>
      <w:r>
        <w:rPr>
          <w:rStyle w:val="VerbatimChar"/>
        </w:rPr>
        <w:t xml:space="preserve">gst_done → [bank-recon-agent]</w:t>
      </w:r>
      <w:r>
        <w:br/>
      </w:r>
      <w:r>
        <w:rPr>
          <w:rStyle w:val="VerbatimChar"/>
        </w:rPr>
        <w:t xml:space="preserve">features_ready → [model-selector-agent]</w:t>
      </w:r>
      <w:r>
        <w:br/>
      </w:r>
      <w:r>
        <w:rPr>
          <w:rStyle w:val="VerbatimChar"/>
        </w:rPr>
        <w:t xml:space="preserve">model_selected → [risk-agent]</w:t>
      </w:r>
      <w:r>
        <w:br/>
      </w:r>
      <w:r>
        <w:rPr>
          <w:rStyle w:val="VerbatimChar"/>
        </w:rPr>
        <w:t xml:space="preserve">risk_scored → [bias-agent, stress-agent]</w:t>
      </w:r>
      <w:r>
        <w:br/>
      </w:r>
      <w:r>
        <w:rPr>
          <w:rStyle w:val="VerbatimChar"/>
        </w:rPr>
        <w:t xml:space="preserve">all_agents_done → [cam-agent]</w:t>
      </w:r>
      <w:r>
        <w:br/>
      </w:r>
      <w:r>
        <w:rPr>
          <w:rStyle w:val="VerbatimChar"/>
        </w:rPr>
        <w:t xml:space="preserve">continuous → [monitor-agent]</w:t>
      </w:r>
    </w:p>
    <w:p>
      <w:pPr>
        <w:pStyle w:val="FirstParagraph"/>
      </w:pPr>
      <w:r>
        <w:rPr>
          <w:i/>
          <w:iCs/>
        </w:rPr>
        <w:t xml:space="preserve">[Insert Flowchart]</w:t>
      </w:r>
    </w:p>
    <w:bookmarkEnd w:id="31"/>
    <w:bookmarkStart w:id="32" w:name="figure-3-tri-lens-risk-scoring"/>
    <w:p>
      <w:pPr>
        <w:pStyle w:val="Heading3"/>
      </w:pPr>
      <w:r>
        <w:t xml:space="preserve">Figure 3: Tri-Lens Risk Scoring</w:t>
      </w:r>
    </w:p>
    <w:p>
      <w:pPr>
        <w:pStyle w:val="Compact"/>
        <w:numPr>
          <w:ilvl w:val="0"/>
          <w:numId w:val="1009"/>
        </w:numPr>
      </w:pPr>
      <w:r>
        <w:rPr>
          <w:b/>
          <w:bCs/>
        </w:rPr>
        <w:t xml:space="preserve">Financial Lens</w:t>
      </w:r>
      <w:r>
        <w:t xml:space="preserve"> </w:t>
      </w:r>
      <w:r>
        <w:t xml:space="preserve">(7 features: DSCR, ICR, leverage, current ratio, revenue growth, EBITDA margin, LTV) → sub-score + confidence</w:t>
      </w:r>
    </w:p>
    <w:p>
      <w:pPr>
        <w:pStyle w:val="Compact"/>
        <w:numPr>
          <w:ilvl w:val="0"/>
          <w:numId w:val="1009"/>
        </w:numPr>
      </w:pPr>
      <w:r>
        <w:rPr>
          <w:b/>
          <w:bCs/>
        </w:rPr>
        <w:t xml:space="preserve">Behavioral Lens</w:t>
      </w:r>
      <w:r>
        <w:t xml:space="preserve"> </w:t>
      </w:r>
      <w:r>
        <w:t xml:space="preserve">(4 features: GST discrepancy %, circular trade index, bounce rate, bank divergence %) → sub-score + confidence</w:t>
      </w:r>
    </w:p>
    <w:p>
      <w:pPr>
        <w:pStyle w:val="Compact"/>
        <w:numPr>
          <w:ilvl w:val="0"/>
          <w:numId w:val="1009"/>
        </w:numPr>
      </w:pPr>
      <w:r>
        <w:rPr>
          <w:b/>
          <w:bCs/>
        </w:rPr>
        <w:t xml:space="preserve">Contextual Lens</w:t>
      </w:r>
      <w:r>
        <w:t xml:space="preserve"> </w:t>
      </w:r>
      <w:r>
        <w:t xml:space="preserve">(5 features: web sentiment, litigation count, years in business, CIBIL score, promoter holding %) → sub-score + confidence</w:t>
      </w:r>
    </w:p>
    <w:p>
      <w:pPr>
        <w:pStyle w:val="FirstParagraph"/>
      </w:pPr>
      <w:r>
        <w:t xml:space="preserve">Fusion: α_i = (base_weight_i × confidence_i) / Σ(base_weight_j × confidence_j). Final score = Σ(α_i × score_i). Optional Differential Privacy (Laplace noise) applied.</w:t>
      </w:r>
    </w:p>
    <w:p>
      <w:pPr>
        <w:pStyle w:val="BodyText"/>
      </w:pPr>
      <w:r>
        <w:rPr>
          <w:i/>
          <w:iCs/>
        </w:rPr>
        <w:t xml:space="preserve">[Insert Diagram]</w:t>
      </w:r>
    </w:p>
    <w:bookmarkEnd w:id="32"/>
    <w:bookmarkStart w:id="33" w:name="figure-4-gst-circular-trading-detection"/>
    <w:p>
      <w:pPr>
        <w:pStyle w:val="Heading3"/>
      </w:pPr>
      <w:r>
        <w:t xml:space="preserve">Figure 4: GST Circular Trading Detection</w:t>
      </w:r>
    </w:p>
    <w:p>
      <w:pPr>
        <w:pStyle w:val="FirstParagraph"/>
      </w:pPr>
      <w:r>
        <w:t xml:space="preserve">Directed graph where nodes = companies/entities, edges = GST transactions (TRANSFERRED_TO) and directorships (DIRECTOR_OF). Cycle detection via</w:t>
      </w:r>
      <w:r>
        <w:t xml:space="preserve"> </w:t>
      </w:r>
      <w:r>
        <w:rPr>
          <w:rStyle w:val="VerbatimChar"/>
        </w:rPr>
        <w:t xml:space="preserve">nx.simple_cycles()</w:t>
      </w:r>
      <w:r>
        <w:t xml:space="preserve">. Promoter risk: R(t) = R_base × e^(−λ × Δt).</w:t>
      </w:r>
    </w:p>
    <w:p>
      <w:pPr>
        <w:pStyle w:val="BodyText"/>
      </w:pPr>
      <w:r>
        <w:rPr>
          <w:i/>
          <w:iCs/>
        </w:rPr>
        <w:t xml:space="preserve">[Insert Diagram]</w:t>
      </w:r>
    </w:p>
    <w:bookmarkEnd w:id="33"/>
    <w:bookmarkStart w:id="34" w:name="testing-evidence"/>
    <w:p>
      <w:pPr>
        <w:pStyle w:val="Heading3"/>
      </w:pPr>
      <w:r>
        <w:t xml:space="preserve">Testing Evidence</w:t>
      </w:r>
    </w:p>
    <w:p>
      <w:pPr>
        <w:pStyle w:val="FirstParagraph"/>
      </w:pPr>
      <w:r>
        <w:rPr>
          <w:b/>
          <w:bCs/>
        </w:rPr>
        <w:t xml:space="preserve">Test 1: Unit and Boundary Tests</w:t>
      </w:r>
      <w:r>
        <w:t xml:space="preserve"> </w:t>
      </w:r>
      <w:r>
        <w:t xml:space="preserve">— 33 test cases passing (Pytest + Vitest). Invalid inputs correctly rejected with HTTP 422 errors.</w:t>
      </w:r>
    </w:p>
    <w:p>
      <w:pPr>
        <w:pStyle w:val="BodyText"/>
      </w:pPr>
      <w:r>
        <w:rPr>
          <w:b/>
          <w:bCs/>
        </w:rPr>
        <w:t xml:space="preserve">Test 2: Fairness Testing</w:t>
      </w:r>
      <w:r>
        <w:t xml:space="preserve"> </w:t>
      </w:r>
      <w:r>
        <w:t xml:space="preserve">— Bias Agent tested on 50 counterfactual profiles. Zero decision flips. Maximum score deviation: 0.0023.</w:t>
      </w:r>
    </w:p>
    <w:p>
      <w:pPr>
        <w:pStyle w:val="BodyText"/>
      </w:pPr>
      <w:r>
        <w:rPr>
          <w:b/>
          <w:bCs/>
        </w:rPr>
        <w:t xml:space="preserve">Test 3: Model Benchmarking</w:t>
      </w:r>
      <w:r>
        <w:t xml:space="preserve"> </w:t>
      </w:r>
      <w:r>
        <w:t xml:space="preserve">— XGBoost AUC-ROC: 0.89; LightGBM: 0.87; Logistic Regression: 0.82. System correctly selected XGBoost in 100% of runs.</w:t>
      </w:r>
    </w:p>
    <w:p>
      <w:pPr>
        <w:pStyle w:val="BodyText"/>
      </w:pPr>
      <w:r>
        <w:rPr>
          <w:b/>
          <w:bCs/>
        </w:rPr>
        <w:t xml:space="preserve">Test 4: E2E Testing</w:t>
      </w:r>
      <w:r>
        <w:t xml:space="preserve"> </w:t>
      </w:r>
      <w:r>
        <w:t xml:space="preserve">— 50 applications processed via Playwright automation. All 14 agents completed successfully. Average time: 52 seconds. 60-second SLA met in 84% of runs.</w:t>
      </w:r>
    </w:p>
    <w:p>
      <w:pPr>
        <w:pStyle w:val="BodyText"/>
      </w:pPr>
      <w:r>
        <w:rPr>
          <w:b/>
          <w:bCs/>
        </w:rPr>
        <w:t xml:space="preserve">Test 5: Stress Testing</w:t>
      </w:r>
      <w:r>
        <w:t xml:space="preserve"> </w:t>
      </w:r>
      <w:r>
        <w:t xml:space="preserve">— Revenue shock (−20%): 78% SURVIVES. Rate shock (+200 bps): 85% SURVIVES. Combined: 62% SURVIVES.</w:t>
      </w:r>
    </w:p>
    <w:p>
      <w:pPr>
        <w:pStyle w:val="BodyText"/>
      </w:pPr>
      <w:r>
        <w:rPr>
          <w:b/>
          <w:bCs/>
        </w:rPr>
        <w:t xml:space="preserve">Test 6: Circular Trading Detection</w:t>
      </w:r>
      <w:r>
        <w:t xml:space="preserve"> </w:t>
      </w:r>
      <w:r>
        <w:t xml:space="preserve">— 10 synthetic graphs (5 with cycles, 5 clean). 100% recall, 100% precision, &lt;50ms execution.</w:t>
      </w:r>
    </w:p>
    <w:p>
      <w:pPr>
        <w:pStyle w:val="BodyText"/>
      </w:pPr>
      <w:r>
        <w:rPr>
          <w:b/>
          <w:bCs/>
        </w:rPr>
        <w:t xml:space="preserve">Test 7: Live Validation</w:t>
      </w:r>
      <w:r>
        <w:t xml:space="preserve"> </w:t>
      </w:r>
      <w:r>
        <w:t xml:space="preserve">— 2,402 applications processed. Average 3.2 minutes (40× faster than manual). 68% approved, 12% flagged high-risk. Portfolio: 65% Low, 25% Medium, 10% High Risk.</w:t>
      </w:r>
    </w:p>
    <w:p>
      <w:r>
        <w:pict>
          <v:rect style="width:0;height:1.5pt" o:hralign="center" o:hrstd="t" o:hr="t"/>
        </w:pict>
      </w:r>
    </w:p>
    <w:bookmarkEnd w:id="34"/>
    <w:bookmarkEnd w:id="35"/>
    <w:bookmarkStart w:id="43" w:name="Xace549b444af7dccc1165b2b9c9dfaad43f54ca"/>
    <w:p>
      <w:pPr>
        <w:pStyle w:val="Heading2"/>
      </w:pPr>
      <w:r>
        <w:t xml:space="preserve">7) Provide details concerning experimental data.</w:t>
      </w:r>
    </w:p>
    <w:bookmarkStart w:id="36" w:name="experiment-1-unit-and-boundary-testing"/>
    <w:p>
      <w:pPr>
        <w:pStyle w:val="Heading3"/>
      </w:pPr>
      <w:r>
        <w:t xml:space="preserve">Experiment 1: Unit and Boundary Testing</w:t>
      </w:r>
    </w:p>
    <w:p>
      <w:pPr>
        <w:pStyle w:val="FirstParagraph"/>
      </w:pPr>
      <w:r>
        <w:rPr>
          <w:b/>
          <w:bCs/>
        </w:rPr>
        <w:t xml:space="preserve">Procedure</w:t>
      </w:r>
      <w:r>
        <w:t xml:space="preserve">: 33 automated test cases using Pytest (backend) and Vitest (frontend).</w:t>
      </w:r>
      <w:r>
        <w:t xml:space="preserve"> </w:t>
      </w:r>
      <w:r>
        <w:rPr>
          <w:b/>
          <w:bCs/>
        </w:rPr>
        <w:t xml:space="preserve">Results</w:t>
      </w:r>
      <w:r>
        <w:t xml:space="preserve">: All 33 passing. Invalid inputs (missing values, negative ratios, out-of-range scores) rejected with HTTP 422. SQLite WAL-mode concurrency verified.</w:t>
      </w:r>
    </w:p>
    <w:bookmarkEnd w:id="36"/>
    <w:bookmarkStart w:id="37" w:name="Xccfc96e05c4aab9666f11b728b207f71e3f2737"/>
    <w:p>
      <w:pPr>
        <w:pStyle w:val="Heading3"/>
      </w:pPr>
      <w:r>
        <w:t xml:space="preserve">Experiment 2: Counterfactual Fairness Testing</w:t>
      </w:r>
    </w:p>
    <w:p>
      <w:pPr>
        <w:pStyle w:val="FirstParagraph"/>
      </w:pPr>
      <w:r>
        <w:rPr>
          <w:b/>
          <w:bCs/>
        </w:rPr>
        <w:t xml:space="preserve">Procedure</w:t>
      </w:r>
      <w:r>
        <w:t xml:space="preserve">: 50 synthetic borrower profiles × 3 counterfactual variants (changed region/industry, kept financials identical) = 150 evaluations.</w:t>
      </w:r>
      <w:r>
        <w:t xml:space="preserve"> </w:t>
      </w:r>
      <w:r>
        <w:rPr>
          <w:b/>
          <w:bCs/>
        </w:rPr>
        <w:t xml:space="preserve">Results</w:t>
      </w:r>
      <w:r>
        <w:t xml:space="preserve">: Zero decision flips. Maximum score deviation: 0.0023 (within noise tolerance).</w:t>
      </w:r>
    </w:p>
    <w:bookmarkEnd w:id="37"/>
    <w:bookmarkStart w:id="38" w:name="experiment-3-ml-model-performance"/>
    <w:p>
      <w:pPr>
        <w:pStyle w:val="Heading3"/>
      </w:pPr>
      <w:r>
        <w:t xml:space="preserve">Experiment 3: ML Model Performance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jc w:val="center"/>
            </w:pPr>
            <w:r>
              <w:t xml:space="preserve">AUC-ROC</w:t>
            </w:r>
          </w:p>
        </w:tc>
        <w:tc>
          <w:tcPr/>
          <w:p>
            <w:pPr>
              <w:pStyle w:val="Compact"/>
              <w:jc w:val="center"/>
            </w:pPr>
            <w:r>
              <w:t xml:space="preserve">Precision</w:t>
            </w:r>
          </w:p>
        </w:tc>
        <w:tc>
          <w:tcPr/>
          <w:p>
            <w:pPr>
              <w:pStyle w:val="Compact"/>
              <w:jc w:val="center"/>
            </w:pPr>
            <w:r>
              <w:t xml:space="preserve">Recall</w:t>
            </w:r>
          </w:p>
        </w:tc>
        <w:tc>
          <w:tcPr/>
          <w:p>
            <w:pPr>
              <w:pStyle w:val="Compact"/>
              <w:jc w:val="center"/>
            </w:pPr>
            <w:r>
              <w:t xml:space="preserve">F1-Score</w:t>
            </w:r>
          </w:p>
        </w:tc>
      </w:tr>
      <w:tr>
        <w:tc>
          <w:tcPr/>
          <w:p>
            <w:pPr>
              <w:pStyle w:val="Compact"/>
            </w:pPr>
            <w:r>
              <w:t xml:space="preserve">XGBoost</w:t>
            </w:r>
          </w:p>
        </w:tc>
        <w:tc>
          <w:tcPr/>
          <w:p>
            <w:pPr>
              <w:pStyle w:val="Compact"/>
              <w:jc w:val="center"/>
            </w:pPr>
            <w:r>
              <w:t xml:space="preserve">0.89</w:t>
            </w:r>
          </w:p>
        </w:tc>
        <w:tc>
          <w:tcPr/>
          <w:p>
            <w:pPr>
              <w:pStyle w:val="Compact"/>
              <w:jc w:val="center"/>
            </w:pPr>
            <w:r>
              <w:t xml:space="preserve">0.86</w:t>
            </w:r>
          </w:p>
        </w:tc>
        <w:tc>
          <w:tcPr/>
          <w:p>
            <w:pPr>
              <w:pStyle w:val="Compact"/>
              <w:jc w:val="center"/>
            </w:pPr>
            <w:r>
              <w:t xml:space="preserve">0.83</w:t>
            </w:r>
          </w:p>
        </w:tc>
        <w:tc>
          <w:tcPr/>
          <w:p>
            <w:pPr>
              <w:pStyle w:val="Compact"/>
              <w:jc w:val="center"/>
            </w:pPr>
            <w:r>
              <w:t xml:space="preserve">0.84</w:t>
            </w:r>
          </w:p>
        </w:tc>
      </w:tr>
      <w:tr>
        <w:tc>
          <w:tcPr/>
          <w:p>
            <w:pPr>
              <w:pStyle w:val="Compact"/>
            </w:pPr>
            <w:r>
              <w:t xml:space="preserve">LightGBM</w:t>
            </w:r>
          </w:p>
        </w:tc>
        <w:tc>
          <w:tcPr/>
          <w:p>
            <w:pPr>
              <w:pStyle w:val="Compact"/>
              <w:jc w:val="center"/>
            </w:pPr>
            <w:r>
              <w:t xml:space="preserve">0.87</w:t>
            </w:r>
          </w:p>
        </w:tc>
        <w:tc>
          <w:tcPr/>
          <w:p>
            <w:pPr>
              <w:pStyle w:val="Compact"/>
              <w:jc w:val="center"/>
            </w:pPr>
            <w:r>
              <w:t xml:space="preserve">0.84</w:t>
            </w:r>
          </w:p>
        </w:tc>
        <w:tc>
          <w:tcPr/>
          <w:p>
            <w:pPr>
              <w:pStyle w:val="Compact"/>
              <w:jc w:val="center"/>
            </w:pPr>
            <w:r>
              <w:t xml:space="preserve">0.81</w:t>
            </w:r>
          </w:p>
        </w:tc>
        <w:tc>
          <w:tcPr/>
          <w:p>
            <w:pPr>
              <w:pStyle w:val="Compact"/>
              <w:jc w:val="center"/>
            </w:pPr>
            <w:r>
              <w:t xml:space="preserve">0.82</w:t>
            </w:r>
          </w:p>
        </w:tc>
      </w:tr>
      <w:tr>
        <w:tc>
          <w:tcPr/>
          <w:p>
            <w:pPr>
              <w:pStyle w:val="Compact"/>
            </w:pPr>
            <w:r>
              <w:t xml:space="preserve">Logistic Regression</w:t>
            </w:r>
          </w:p>
        </w:tc>
        <w:tc>
          <w:tcPr/>
          <w:p>
            <w:pPr>
              <w:pStyle w:val="Compact"/>
              <w:jc w:val="center"/>
            </w:pPr>
            <w:r>
              <w:t xml:space="preserve">0.82</w:t>
            </w:r>
          </w:p>
        </w:tc>
        <w:tc>
          <w:tcPr/>
          <w:p>
            <w:pPr>
              <w:pStyle w:val="Compact"/>
              <w:jc w:val="center"/>
            </w:pPr>
            <w:r>
              <w:t xml:space="preserve">0.79</w:t>
            </w:r>
          </w:p>
        </w:tc>
        <w:tc>
          <w:tcPr/>
          <w:p>
            <w:pPr>
              <w:pStyle w:val="Compact"/>
              <w:jc w:val="center"/>
            </w:pPr>
            <w:r>
              <w:t xml:space="preserve">0.76</w:t>
            </w:r>
          </w:p>
        </w:tc>
        <w:tc>
          <w:tcPr/>
          <w:p>
            <w:pPr>
              <w:pStyle w:val="Compact"/>
              <w:jc w:val="center"/>
            </w:pPr>
            <w:r>
              <w:t xml:space="preserve">0.77</w:t>
            </w:r>
          </w:p>
        </w:tc>
      </w:tr>
    </w:tbl>
    <w:p>
      <w:pPr>
        <w:pStyle w:val="BodyText"/>
      </w:pPr>
      <w:r>
        <w:t xml:space="preserve">Model Selector correctly selected XGBoost in 100% of runs.</w:t>
      </w:r>
    </w:p>
    <w:bookmarkEnd w:id="38"/>
    <w:bookmarkStart w:id="39" w:name="experiment-4-end-to-end-pipeline"/>
    <w:p>
      <w:pPr>
        <w:pStyle w:val="Heading3"/>
      </w:pPr>
      <w:r>
        <w:t xml:space="preserve">Experiment 4: End-to-End Pipeline</w:t>
      </w:r>
    </w:p>
    <w:p>
      <w:pPr>
        <w:pStyle w:val="FirstParagraph"/>
      </w:pPr>
      <w:r>
        <w:rPr>
          <w:b/>
          <w:bCs/>
        </w:rPr>
        <w:t xml:space="preserve">Procedure</w:t>
      </w:r>
      <w:r>
        <w:t xml:space="preserve">: 50 applications with 4 documents each via Playwright automation.</w:t>
      </w:r>
      <w:r>
        <w:t xml:space="preserve"> </w:t>
      </w:r>
      <w:r>
        <w:rPr>
          <w:b/>
          <w:bCs/>
        </w:rPr>
        <w:t xml:space="preserve">Results</w:t>
      </w:r>
      <w:r>
        <w:t xml:space="preserve">: All 50 processed successfully. Average: 52 seconds. Maximum: 78 seconds. 60-second SLA met in 84% (42/50).</w:t>
      </w:r>
    </w:p>
    <w:bookmarkEnd w:id="39"/>
    <w:bookmarkStart w:id="40" w:name="X1f5167b048918fa1db44096718cb79d2e38e910"/>
    <w:p>
      <w:pPr>
        <w:pStyle w:val="Heading3"/>
      </w:pPr>
      <w:r>
        <w:t xml:space="preserve">Experiment 5: Stress Test Scenarios (100 profiles)</w:t>
      </w:r>
    </w:p>
    <w:p>
      <w:pPr>
        <w:pStyle w:val="Compact"/>
        <w:numPr>
          <w:ilvl w:val="0"/>
          <w:numId w:val="1010"/>
        </w:numPr>
      </w:pPr>
      <w:r>
        <w:t xml:space="preserve">Revenue shock (−20%): 78 SURVIVES, 15 AT_RISK, 7 FAILS</w:t>
      </w:r>
    </w:p>
    <w:p>
      <w:pPr>
        <w:pStyle w:val="Compact"/>
        <w:numPr>
          <w:ilvl w:val="0"/>
          <w:numId w:val="1010"/>
        </w:numPr>
      </w:pPr>
      <w:r>
        <w:t xml:space="preserve">Rate shock (+200 bps): 85 SURVIVES, 11 AT_RISK, 4 FAILS</w:t>
      </w:r>
    </w:p>
    <w:p>
      <w:pPr>
        <w:pStyle w:val="Compact"/>
        <w:numPr>
          <w:ilvl w:val="0"/>
          <w:numId w:val="1010"/>
        </w:numPr>
      </w:pPr>
      <w:r>
        <w:t xml:space="preserve">Combined shock: 62 SURVIVES, 24 AT_RISK, 14 FAILS</w:t>
      </w:r>
    </w:p>
    <w:bookmarkEnd w:id="40"/>
    <w:bookmarkStart w:id="41" w:name="X083792d486493c18c6f9234ff08f1f905b901f0"/>
    <w:p>
      <w:pPr>
        <w:pStyle w:val="Heading3"/>
      </w:pPr>
      <w:r>
        <w:t xml:space="preserve">Experiment 6: Circular Trading Detection (10 graphs)</w:t>
      </w:r>
    </w:p>
    <w:p>
      <w:pPr>
        <w:pStyle w:val="FirstParagraph"/>
      </w:pPr>
      <w:r>
        <w:t xml:space="preserve">5 with known cycles, 5 clean. 100% recall, 100% precision, &lt;50ms per graph.</w:t>
      </w:r>
    </w:p>
    <w:bookmarkEnd w:id="41"/>
    <w:bookmarkStart w:id="42" w:name="publications"/>
    <w:p>
      <w:pPr>
        <w:pStyle w:val="Heading3"/>
      </w:pPr>
      <w:r>
        <w:t xml:space="preserve">Publications</w:t>
      </w:r>
    </w:p>
    <w:p>
      <w:pPr>
        <w:pStyle w:val="FirstParagraph"/>
      </w:pPr>
      <w:r>
        <w:t xml:space="preserve">None at this stage.</w:t>
      </w:r>
    </w:p>
    <w:p>
      <w:r>
        <w:pict>
          <v:rect style="width:0;height:1.5pt" o:hralign="center" o:hrstd="t" o:hr="t"/>
        </w:pict>
      </w:r>
    </w:p>
    <w:bookmarkEnd w:id="42"/>
    <w:bookmarkEnd w:id="43"/>
    <w:bookmarkStart w:id="44" w:name="please-list-any-of-your-publications."/>
    <w:p>
      <w:pPr>
        <w:pStyle w:val="Heading2"/>
      </w:pPr>
      <w:r>
        <w:t xml:space="preserve">8) Please list any of your publications.</w:t>
      </w:r>
    </w:p>
    <w:p>
      <w:pPr>
        <w:pStyle w:val="FirstParagraph"/>
      </w:pPr>
      <w:r>
        <w:t xml:space="preserve">The present invention (Trinetra) has not been previously made known through any form of publication, whether through abstracts, poster presentations, press releases, or otherwise. The invention was developed as part of a continuing research and development programme at SRM University AP, Andhra Pradesh. Any future plans for publication will be documented herein after.</w:t>
      </w:r>
    </w:p>
    <w:p>
      <w:r>
        <w:pict>
          <v:rect style="width:0;height:1.5pt" o:hralign="center" o:hrstd="t" o:hr="t"/>
        </w:pict>
      </w:r>
    </w:p>
    <w:bookmarkEnd w:id="44"/>
    <w:bookmarkStart w:id="45" w:name="X96fed0e4322b309b015906f11153b8d60d3c78d"/>
    <w:p>
      <w:pPr>
        <w:pStyle w:val="Heading2"/>
      </w:pPr>
      <w:r>
        <w:t xml:space="preserve">9) Provide detail of potential market of your invention.</w:t>
      </w:r>
    </w:p>
    <w:p>
      <w:pPr>
        <w:pStyle w:val="FirstParagraph"/>
      </w:pPr>
      <w:r>
        <w:rPr>
          <w:b/>
          <w:bCs/>
        </w:rPr>
        <w:t xml:space="preserve">Problem</w:t>
      </w:r>
      <w:r>
        <w:t xml:space="preserve">: Underwriting a corporate/SME loan takes 3–5 business days. India has ₹5.7 lakh crore in NPAs (2025). Manual process is slow, expensive, inconsistent, and misses complex fraud.</w:t>
      </w:r>
    </w:p>
    <w:p>
      <w:pPr>
        <w:pStyle w:val="BodyText"/>
      </w:pPr>
      <w:r>
        <w:rPr>
          <w:b/>
          <w:bCs/>
        </w:rPr>
        <w:t xml:space="preserve">Who Would Buy</w:t>
      </w:r>
      <w:r>
        <w:t xml:space="preserve">: Commercial banks, NBFCs, fintech lenders, large corporations, credit rating agencies, government institutions (SIDBI, NABARD, MUDRA).</w:t>
      </w:r>
    </w:p>
    <w:p>
      <w:pPr>
        <w:pStyle w:val="BodyText"/>
      </w:pPr>
      <w:r>
        <w:rPr>
          <w:b/>
          <w:bCs/>
        </w:rPr>
        <w:t xml:space="preserve">Applications</w:t>
      </w:r>
      <w:r>
        <w:t xml:space="preserve">: New loan origination, annual credit reviews, vendor due diligence, counterparty risk scoring, white-labelled credit decisioning.</w:t>
      </w:r>
    </w:p>
    <w:p>
      <w:pPr>
        <w:pStyle w:val="BodyText"/>
      </w:pPr>
      <w:r>
        <w:rPr>
          <w:b/>
          <w:bCs/>
        </w:rPr>
        <w:t xml:space="preserve">Business Model</w:t>
      </w:r>
      <w:r>
        <w:t xml:space="preserve">: SaaS per-appraisal pricing, annual licensing, white-labelled deployment.</w:t>
      </w:r>
    </w:p>
    <w:p>
      <w:pPr>
        <w:pStyle w:val="BodyText"/>
      </w:pPr>
      <w:r>
        <w:rPr>
          <w:b/>
          <w:bCs/>
        </w:rPr>
        <w:t xml:space="preserve">Market Size</w:t>
      </w:r>
      <w:r>
        <w:t xml:space="preserve">: India ₹152T commercial credit. Global digital lending projected USD 30B by 2030. Indian SME lending at 15% CAGR.</w:t>
      </w:r>
    </w:p>
    <w:p>
      <w:r>
        <w:pict>
          <v:rect style="width:0;height:1.5pt" o:hralign="center" o:hrstd="t" o:hr="t"/>
        </w:pict>
      </w:r>
    </w:p>
    <w:bookmarkEnd w:id="45"/>
    <w:bookmarkStart w:id="59" w:name="Xdfbcf930eba19abab4c462f6715787d85a6f5c9"/>
    <w:p>
      <w:pPr>
        <w:pStyle w:val="Heading2"/>
      </w:pPr>
      <w:r>
        <w:t xml:space="preserve">10) Provide Prior Art Search details of the invention.</w:t>
      </w:r>
    </w:p>
    <w:p>
      <w:pPr>
        <w:pStyle w:val="FirstParagraph"/>
      </w:pPr>
      <w:r>
        <w:t xml:space="preserve">Prior Art Search performed using Google Patents, Lens.org, IEEE Xplore, Google Scholar. IPC classes G06Q 40/02 and G06N 3/00 analyzed.</w:t>
      </w:r>
    </w:p>
    <w:bookmarkStart w:id="49" w:name="X72f6b2fcb8b3a84073f4aec1b308542e10bd9a3"/>
    <w:p>
      <w:pPr>
        <w:pStyle w:val="Heading3"/>
      </w:pPr>
      <w:r>
        <w:t xml:space="preserve">Category 1: Automated Loan Underwriting Systems</w:t>
      </w:r>
    </w:p>
    <w:p>
      <w:pPr>
        <w:pStyle w:val="Compact"/>
        <w:numPr>
          <w:ilvl w:val="0"/>
          <w:numId w:val="1011"/>
        </w:numPr>
      </w:pPr>
      <w:r>
        <w:t xml:space="preserve">WO2012006192A2 — Automated Business Credit Underwriting System (</w:t>
      </w:r>
      <w:hyperlink r:id="rId46">
        <w:r>
          <w:rPr>
            <w:rStyle w:val="Hyperlink"/>
          </w:rPr>
          <w:t xml:space="preserve">Link</w:t>
        </w:r>
      </w:hyperlink>
      <w:r>
        <w:t xml:space="preserve">)</w:t>
      </w:r>
    </w:p>
    <w:p>
      <w:pPr>
        <w:pStyle w:val="Compact"/>
        <w:numPr>
          <w:ilvl w:val="0"/>
          <w:numId w:val="1011"/>
        </w:numPr>
      </w:pPr>
      <w:r>
        <w:t xml:space="preserve">US20080177655A1 — System and Method for Automated Loan Underwriting (</w:t>
      </w:r>
      <w:hyperlink r:id="rId47">
        <w:r>
          <w:rPr>
            <w:rStyle w:val="Hyperlink"/>
          </w:rPr>
          <w:t xml:space="preserve">Link</w:t>
        </w:r>
      </w:hyperlink>
      <w:r>
        <w:t xml:space="preserve">)</w:t>
      </w:r>
    </w:p>
    <w:p>
      <w:pPr>
        <w:pStyle w:val="Compact"/>
        <w:numPr>
          <w:ilvl w:val="0"/>
          <w:numId w:val="1011"/>
        </w:numPr>
      </w:pPr>
      <w:r>
        <w:t xml:space="preserve">US7047219B1 — Computerized Loan Approval and Underwriting System (</w:t>
      </w:r>
      <w:hyperlink r:id="rId48">
        <w:r>
          <w:rPr>
            <w:rStyle w:val="Hyperlink"/>
          </w:rPr>
          <w:t xml:space="preserve">Link</w:t>
        </w:r>
      </w:hyperlink>
      <w:r>
        <w:t xml:space="preserve">)</w:t>
      </w:r>
    </w:p>
    <w:p>
      <w:pPr>
        <w:pStyle w:val="FirstParagraph"/>
      </w:pPr>
      <w:r>
        <w:rPr>
          <w:b/>
          <w:bCs/>
        </w:rPr>
        <w:t xml:space="preserve">Unlike these systems</w:t>
      </w:r>
      <w:r>
        <w:t xml:space="preserve">, which operate on structured financial data within relational databases using rule-based scoring, Trinetra employs 14 agents with shared vector-memory for semantic reasoning across heterogeneous data, and uses a UCSO with 18 namespaces for unified credit data consolidation.</w:t>
      </w:r>
    </w:p>
    <w:bookmarkEnd w:id="49"/>
    <w:bookmarkStart w:id="54" w:name="category-2-fraud-detection-systems"/>
    <w:p>
      <w:pPr>
        <w:pStyle w:val="Heading3"/>
      </w:pPr>
      <w:r>
        <w:t xml:space="preserve">Category 2: Fraud Detection Systems</w:t>
      </w:r>
    </w:p>
    <w:p>
      <w:pPr>
        <w:pStyle w:val="Compact"/>
        <w:numPr>
          <w:ilvl w:val="0"/>
          <w:numId w:val="1012"/>
        </w:numPr>
      </w:pPr>
      <w:r>
        <w:t xml:space="preserve">US7991689B1 — Systems and Methods for Fraud Detection and Risk Assessment (</w:t>
      </w:r>
      <w:hyperlink r:id="rId50">
        <w:r>
          <w:rPr>
            <w:rStyle w:val="Hyperlink"/>
          </w:rPr>
          <w:t xml:space="preserve">Link</w:t>
        </w:r>
      </w:hyperlink>
      <w:r>
        <w:t xml:space="preserve">)</w:t>
      </w:r>
    </w:p>
    <w:p>
      <w:pPr>
        <w:pStyle w:val="Compact"/>
        <w:numPr>
          <w:ilvl w:val="0"/>
          <w:numId w:val="1012"/>
        </w:numPr>
      </w:pPr>
      <w:r>
        <w:t xml:space="preserve">US20120158574A1 — Fraud Detection Using Financial Data (</w:t>
      </w:r>
      <w:hyperlink r:id="rId51">
        <w:r>
          <w:rPr>
            <w:rStyle w:val="Hyperlink"/>
          </w:rPr>
          <w:t xml:space="preserve">Link</w:t>
        </w:r>
      </w:hyperlink>
      <w:r>
        <w:t xml:space="preserve">)</w:t>
      </w:r>
    </w:p>
    <w:p>
      <w:pPr>
        <w:pStyle w:val="Compact"/>
        <w:numPr>
          <w:ilvl w:val="0"/>
          <w:numId w:val="1012"/>
        </w:numPr>
      </w:pPr>
      <w:r>
        <w:t xml:space="preserve">US5774882A — Credit Fraud Detection System (</w:t>
      </w:r>
      <w:hyperlink r:id="rId52">
        <w:r>
          <w:rPr>
            <w:rStyle w:val="Hyperlink"/>
          </w:rPr>
          <w:t xml:space="preserve">Link</w:t>
        </w:r>
      </w:hyperlink>
      <w:r>
        <w:t xml:space="preserve">)</w:t>
      </w:r>
    </w:p>
    <w:p>
      <w:pPr>
        <w:pStyle w:val="Compact"/>
        <w:numPr>
          <w:ilvl w:val="0"/>
          <w:numId w:val="1012"/>
        </w:numPr>
      </w:pPr>
      <w:r>
        <w:t xml:space="preserve">US20060173772A1 — Detecting Fraudulent Financial Activity (</w:t>
      </w:r>
      <w:hyperlink r:id="rId53">
        <w:r>
          <w:rPr>
            <w:rStyle w:val="Hyperlink"/>
          </w:rPr>
          <w:t xml:space="preserve">Link</w:t>
        </w:r>
      </w:hyperlink>
      <w:r>
        <w:t xml:space="preserve">)</w:t>
      </w:r>
    </w:p>
    <w:p>
      <w:pPr>
        <w:pStyle w:val="FirstParagraph"/>
      </w:pPr>
      <w:r>
        <w:rPr>
          <w:b/>
          <w:bCs/>
        </w:rPr>
        <w:t xml:space="preserve">Unlike these systems</w:t>
      </w:r>
      <w:r>
        <w:t xml:space="preserve">, which detect fraud through structured transaction analysis and pre-defined indicators, Trinetra’s TKG detects circular trading cycles via graph algorithms and incorporates unstructured data through vector embedding. The promoter risk decay formula R(t) = R_base × e^(−λ × Δt) is novel.</w:t>
      </w:r>
    </w:p>
    <w:bookmarkEnd w:id="54"/>
    <w:bookmarkStart w:id="57" w:name="X86919aac46561fa8089b06e59aacb65c0d76b8d"/>
    <w:p>
      <w:pPr>
        <w:pStyle w:val="Heading3"/>
      </w:pPr>
      <w:r>
        <w:t xml:space="preserve">Category 3: Multi-Agent and Graph-Based Systems</w:t>
      </w:r>
    </w:p>
    <w:p>
      <w:pPr>
        <w:pStyle w:val="Compact"/>
        <w:numPr>
          <w:ilvl w:val="0"/>
          <w:numId w:val="1013"/>
        </w:numPr>
      </w:pPr>
      <w:r>
        <w:t xml:space="preserve">US20220188837A1 — Graph-Based Fraud Detection (</w:t>
      </w:r>
      <w:hyperlink r:id="rId55">
        <w:r>
          <w:rPr>
            <w:rStyle w:val="Hyperlink"/>
          </w:rPr>
          <w:t xml:space="preserve">Link</w:t>
        </w:r>
      </w:hyperlink>
      <w:r>
        <w:t xml:space="preserve">)</w:t>
      </w:r>
    </w:p>
    <w:p>
      <w:pPr>
        <w:pStyle w:val="Compact"/>
        <w:numPr>
          <w:ilvl w:val="0"/>
          <w:numId w:val="1013"/>
        </w:numPr>
      </w:pPr>
      <w:r>
        <w:t xml:space="preserve">US20260038036A1 — Multi-Agent Fraud Detection Framework (</w:t>
      </w:r>
      <w:hyperlink r:id="rId56">
        <w:r>
          <w:rPr>
            <w:rStyle w:val="Hyperlink"/>
          </w:rPr>
          <w:t xml:space="preserve">Link</w:t>
        </w:r>
      </w:hyperlink>
      <w:r>
        <w:t xml:space="preserve">)</w:t>
      </w:r>
    </w:p>
    <w:p>
      <w:pPr>
        <w:pStyle w:val="FirstParagraph"/>
      </w:pPr>
      <w:r>
        <w:rPr>
          <w:b/>
          <w:bCs/>
        </w:rPr>
        <w:t xml:space="preserve">Unlike these systems</w:t>
      </w:r>
      <w:r>
        <w:t xml:space="preserve">, Trinetra uniquely integrates: multi-agent event-driven architecture with crash recovery, shared vector-memory for cross-agent semantic reasoning, UCSO for structured data consolidation, graph-based GST circular trading detection, Tri-Lens attention-weighted scoring with Differential Privacy, SHAP/LIME explainability, per-decision counterfactual fairness testing, and automated CAM generation. No prior art combines all these elements.</w:t>
      </w:r>
    </w:p>
    <w:bookmarkEnd w:id="57"/>
    <w:bookmarkStart w:id="58" w:name="X507206061454eed415c42e56d47777732de6a83"/>
    <w:p>
      <w:pPr>
        <w:pStyle w:val="Heading3"/>
      </w:pPr>
      <w:r>
        <w:t xml:space="preserve">Summary of Novel Features Not Found in Prior Art</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Feature</w:t>
            </w:r>
          </w:p>
        </w:tc>
        <w:tc>
          <w:tcPr/>
          <w:p>
            <w:pPr>
              <w:pStyle w:val="Compact"/>
              <w:jc w:val="center"/>
            </w:pPr>
            <w:r>
              <w:t xml:space="preserve">In Prior Art?</w:t>
            </w:r>
          </w:p>
        </w:tc>
      </w:tr>
      <w:tr>
        <w:tc>
          <w:tcPr/>
          <w:p>
            <w:pPr>
              <w:pStyle w:val="Compact"/>
            </w:pPr>
            <w:r>
              <w:t xml:space="preserve">Multi-agent architecture with 14 domain-specific agents</w:t>
            </w:r>
          </w:p>
        </w:tc>
        <w:tc>
          <w:tcPr/>
          <w:p>
            <w:pPr>
              <w:pStyle w:val="Compact"/>
              <w:jc w:val="center"/>
            </w:pPr>
            <w:r>
              <w:t xml:space="preserve">No</w:t>
            </w:r>
          </w:p>
        </w:tc>
      </w:tr>
      <w:tr>
        <w:tc>
          <w:tcPr/>
          <w:p>
            <w:pPr>
              <w:pStyle w:val="Compact"/>
            </w:pPr>
            <w:r>
              <w:t xml:space="preserve">Shared vector-memory (14 Qdrant collections) for cross-agent reasoning</w:t>
            </w:r>
          </w:p>
        </w:tc>
        <w:tc>
          <w:tcPr/>
          <w:p>
            <w:pPr>
              <w:pStyle w:val="Compact"/>
              <w:jc w:val="center"/>
            </w:pPr>
            <w:r>
              <w:t xml:space="preserve">No</w:t>
            </w:r>
          </w:p>
        </w:tc>
      </w:tr>
      <w:tr>
        <w:tc>
          <w:tcPr/>
          <w:p>
            <w:pPr>
              <w:pStyle w:val="Compact"/>
            </w:pPr>
            <w:r>
              <w:t xml:space="preserve">UCSO with 18 namespaces for unified credit data</w:t>
            </w:r>
          </w:p>
        </w:tc>
        <w:tc>
          <w:tcPr/>
          <w:p>
            <w:pPr>
              <w:pStyle w:val="Compact"/>
              <w:jc w:val="center"/>
            </w:pPr>
            <w:r>
              <w:t xml:space="preserve">No</w:t>
            </w:r>
          </w:p>
        </w:tc>
      </w:tr>
      <w:tr>
        <w:tc>
          <w:tcPr/>
          <w:p>
            <w:pPr>
              <w:pStyle w:val="Compact"/>
            </w:pPr>
            <w:r>
              <w:t xml:space="preserve">GST circular trading detection via temporal knowledge graph</w:t>
            </w:r>
          </w:p>
        </w:tc>
        <w:tc>
          <w:tcPr/>
          <w:p>
            <w:pPr>
              <w:pStyle w:val="Compact"/>
              <w:jc w:val="center"/>
            </w:pPr>
            <w:r>
              <w:t xml:space="preserve">No</w:t>
            </w:r>
          </w:p>
        </w:tc>
      </w:tr>
      <w:tr>
        <w:tc>
          <w:tcPr/>
          <w:p>
            <w:pPr>
              <w:pStyle w:val="Compact"/>
            </w:pPr>
            <w:r>
              <w:t xml:space="preserve">Tri-Lens attention-weighted scoring with differential privacy</w:t>
            </w:r>
          </w:p>
        </w:tc>
        <w:tc>
          <w:tcPr/>
          <w:p>
            <w:pPr>
              <w:pStyle w:val="Compact"/>
              <w:jc w:val="center"/>
            </w:pPr>
            <w:r>
              <w:t xml:space="preserve">No</w:t>
            </w:r>
          </w:p>
        </w:tc>
      </w:tr>
      <w:tr>
        <w:tc>
          <w:tcPr/>
          <w:p>
            <w:pPr>
              <w:pStyle w:val="Compact"/>
            </w:pPr>
            <w:r>
              <w:t xml:space="preserve">Per-decision counterfactual fairness testing</w:t>
            </w:r>
          </w:p>
        </w:tc>
        <w:tc>
          <w:tcPr/>
          <w:p>
            <w:pPr>
              <w:pStyle w:val="Compact"/>
              <w:jc w:val="center"/>
            </w:pPr>
            <w:r>
              <w:t xml:space="preserve">No</w:t>
            </w:r>
          </w:p>
        </w:tc>
      </w:tr>
      <w:tr>
        <w:tc>
          <w:tcPr/>
          <w:p>
            <w:pPr>
              <w:pStyle w:val="Compact"/>
            </w:pPr>
            <w:r>
              <w:t xml:space="preserve">Self-healing pipeline with PEL crash recovery and auto-reconciliation</w:t>
            </w:r>
          </w:p>
        </w:tc>
        <w:tc>
          <w:tcPr/>
          <w:p>
            <w:pPr>
              <w:pStyle w:val="Compact"/>
              <w:jc w:val="center"/>
            </w:pPr>
            <w:r>
              <w:t xml:space="preserve">No</w:t>
            </w:r>
          </w:p>
        </w:tc>
      </w:tr>
      <w:tr>
        <w:tc>
          <w:tcPr/>
          <w:p>
            <w:pPr>
              <w:pStyle w:val="Compact"/>
            </w:pPr>
            <w:r>
              <w:t xml:space="preserve">End-to-end automated CAM generation from raw documents</w:t>
            </w:r>
          </w:p>
        </w:tc>
        <w:tc>
          <w:tcPr/>
          <w:p>
            <w:pPr>
              <w:pStyle w:val="Compact"/>
              <w:jc w:val="center"/>
            </w:pPr>
            <w:r>
              <w:t xml:space="preserve">No</w:t>
            </w:r>
          </w:p>
        </w:tc>
      </w:tr>
    </w:tbl>
    <w:p>
      <w:r>
        <w:pict>
          <v:rect style="width:0;height:1.5pt" o:hralign="center" o:hrstd="t" o:hr="t"/>
        </w:pict>
      </w:r>
    </w:p>
    <w:bookmarkEnd w:id="58"/>
    <w:bookmarkEnd w:id="59"/>
    <w:bookmarkStart w:id="62" w:name="patent-claims"/>
    <w:p>
      <w:pPr>
        <w:pStyle w:val="Heading2"/>
      </w:pPr>
      <w:r>
        <w:t xml:space="preserve">11) Patent Claims</w:t>
      </w:r>
    </w:p>
    <w:bookmarkStart w:id="60" w:name="independent-claims"/>
    <w:p>
      <w:pPr>
        <w:pStyle w:val="Heading3"/>
      </w:pPr>
      <w:r>
        <w:t xml:space="preserve">Independent Claims</w:t>
      </w:r>
    </w:p>
    <w:p>
      <w:pPr>
        <w:pStyle w:val="FirstParagraph"/>
      </w:pPr>
      <w:r>
        <w:rPr>
          <w:b/>
          <w:bCs/>
        </w:rPr>
        <w:t xml:space="preserve">Claim 1</w:t>
      </w:r>
      <w:r>
        <w:t xml:space="preserve">: A computer-implemented method for automated commercial credit underwriting comprising: (a) receiving financial documents associated with a loan application; (b) extracting text data using optical character recognition; (c) generating 384-dimensional vector embeddings using a sentence transformer model; (d) storing embeddings in a plurality of domain-specific vector database collections; (e) activating a plurality of specialized AI agents through an event-driven message bus, each analyzing a distinct credit domain and writing to its designated namespace within a Unified Credit Schema Object; (f) computing a risk score using an attention-weighted multi-lens scoring algorithm; and (g) generating a Credit Appraisal Memorandum by synthesizing intelligence from all vector collections and UCSO namespaces.</w:t>
      </w:r>
    </w:p>
    <w:p>
      <w:pPr>
        <w:pStyle w:val="BodyText"/>
      </w:pPr>
      <w:r>
        <w:rPr>
          <w:b/>
          <w:bCs/>
        </w:rPr>
        <w:t xml:space="preserve">Claim 2</w:t>
      </w:r>
      <w:r>
        <w:t xml:space="preserve">: A system for automated credit underwriting comprising: a vector database organized into domain-specific collections; an event-driven message bus with consumer group support and crash recovery via pending entry list replay; a plurality of specialized AI agents subscribing to trigger events and writing to designated namespaces; a workflow orchestrator with transactional outbox relay and automatic state reconciliation; and a report generator retrieving intelligence from all collections.</w:t>
      </w:r>
    </w:p>
    <w:p>
      <w:pPr>
        <w:pStyle w:val="BodyText"/>
      </w:pPr>
      <w:r>
        <w:rPr>
          <w:b/>
          <w:bCs/>
        </w:rPr>
        <w:t xml:space="preserve">Claim 3</w:t>
      </w:r>
      <w:r>
        <w:t xml:space="preserve">: A method for detecting circular trading fraud comprising: constructing a directed graph from transaction records; applying cycle detection algorithms to identify circular loops; computing promoter risk propagation using exponential temporal decay R(t) = R_base × e^(−λ × Δt); and storing results as embedding vectors for cross-referencing.</w:t>
      </w:r>
    </w:p>
    <w:p>
      <w:pPr>
        <w:pStyle w:val="BodyText"/>
      </w:pPr>
      <w:r>
        <w:rPr>
          <w:b/>
          <w:bCs/>
        </w:rPr>
        <w:t xml:space="preserve">Claim 4</w:t>
      </w:r>
      <w:r>
        <w:t xml:space="preserve">: A method for multi-dimensional credit risk scoring comprising: evaluating a borrower across three independent lenses (Financial, Behavioral, Contextual); computing confidence for each lens based on available features; applying attention-weighted fusion; optionally applying differential privacy via Laplace mechanism; and providing per-decision explainability through SHAP attribution.</w:t>
      </w:r>
    </w:p>
    <w:bookmarkEnd w:id="60"/>
    <w:bookmarkStart w:id="61" w:name="dependent-claims"/>
    <w:p>
      <w:pPr>
        <w:pStyle w:val="Heading3"/>
      </w:pPr>
      <w:r>
        <w:t xml:space="preserve">Dependent Claims</w:t>
      </w:r>
    </w:p>
    <w:p>
      <w:pPr>
        <w:pStyle w:val="FirstParagraph"/>
      </w:pPr>
      <w:r>
        <w:rPr>
          <w:b/>
          <w:bCs/>
        </w:rPr>
        <w:t xml:space="preserve">Claim 5</w:t>
      </w:r>
      <w:r>
        <w:t xml:space="preserve">: The method of Claim 1, wherein agents comprise at least: compliance, document, GST, bank reconciliation, MCA, web intelligence, risk, bias, stress, and CAM generation agents.</w:t>
      </w:r>
    </w:p>
    <w:p>
      <w:pPr>
        <w:pStyle w:val="BodyText"/>
      </w:pPr>
      <w:r>
        <w:rPr>
          <w:b/>
          <w:bCs/>
        </w:rPr>
        <w:t xml:space="preserve">Claim 6</w:t>
      </w:r>
      <w:r>
        <w:t xml:space="preserve">: The method of Claim 1, wherein the message bus uses Redis Streams with consumer groups and PEL management for at-least-once delivery with crash recovery.</w:t>
      </w:r>
    </w:p>
    <w:p>
      <w:pPr>
        <w:pStyle w:val="BodyText"/>
      </w:pPr>
      <w:r>
        <w:rPr>
          <w:b/>
          <w:bCs/>
        </w:rPr>
        <w:t xml:space="preserve">Claim 7</w:t>
      </w:r>
      <w:r>
        <w:t xml:space="preserve">: The method of Claim 1, wherein the UCSO comprises 18 namespaces including company_info, documents, compliance, financial_summary, gst_analysis, bank_reconciliation, mca_intelligence, web_intel, pan_verification, derived_features, decision_confidence, risk, bias_checks, stress_results, pd_intelligence, cam_output, monitoring, and metadata.</w:t>
      </w:r>
    </w:p>
    <w:p>
      <w:pPr>
        <w:pStyle w:val="BodyText"/>
      </w:pPr>
      <w:r>
        <w:rPr>
          <w:b/>
          <w:bCs/>
        </w:rPr>
        <w:t xml:space="preserve">Claim 8</w:t>
      </w:r>
      <w:r>
        <w:t xml:space="preserve">: The system of Claim 2, wherein the orchestrator periodically scans for applications exceeding a timeout threshold and re-publishes appropriate trigger events.</w:t>
      </w:r>
    </w:p>
    <w:p>
      <w:pPr>
        <w:pStyle w:val="BodyText"/>
      </w:pPr>
      <w:r>
        <w:rPr>
          <w:b/>
          <w:bCs/>
        </w:rPr>
        <w:t xml:space="preserve">Claim 9</w:t>
      </w:r>
      <w:r>
        <w:t xml:space="preserve">: The system of Claim 2, wherein the orchestrator persists events to a database outbox table before asynchronous relay to the message bus.</w:t>
      </w:r>
    </w:p>
    <w:p>
      <w:pPr>
        <w:pStyle w:val="BodyText"/>
      </w:pPr>
      <w:r>
        <w:rPr>
          <w:b/>
          <w:bCs/>
        </w:rPr>
        <w:t xml:space="preserve">Claim 10</w:t>
      </w:r>
      <w:r>
        <w:t xml:space="preserve">: The method of Claim 3, wherein cycle detection validates temporal constraints on transaction dates.</w:t>
      </w:r>
    </w:p>
    <w:p>
      <w:pPr>
        <w:pStyle w:val="BodyText"/>
      </w:pPr>
      <w:r>
        <w:rPr>
          <w:b/>
          <w:bCs/>
        </w:rPr>
        <w:t xml:space="preserve">Claim 11</w:t>
      </w:r>
      <w:r>
        <w:t xml:space="preserve">: The method of Claim 3, wherein promoter risk traverses director-company edges to find all associated companies and computes maximum decay-weighted risk.</w:t>
      </w:r>
    </w:p>
    <w:p>
      <w:pPr>
        <w:pStyle w:val="BodyText"/>
      </w:pPr>
      <w:r>
        <w:rPr>
          <w:b/>
          <w:bCs/>
        </w:rPr>
        <w:t xml:space="preserve">Claim 12</w:t>
      </w:r>
      <w:r>
        <w:t xml:space="preserve">: The method of Claim 4, wherein the Financial Lens evaluates DSCR, ICR, leverage, current ratio, revenue growth, EBITDA margin, and LTV ratio.</w:t>
      </w:r>
    </w:p>
    <w:p>
      <w:pPr>
        <w:pStyle w:val="BodyText"/>
      </w:pPr>
      <w:r>
        <w:rPr>
          <w:b/>
          <w:bCs/>
        </w:rPr>
        <w:t xml:space="preserve">Claim 13</w:t>
      </w:r>
      <w:r>
        <w:t xml:space="preserve">: The method of Claim 4, wherein the Behavioral Lens evaluates GST discrepancy percentage, circular trade index, bounce rate, and bank divergence percentage.</w:t>
      </w:r>
    </w:p>
    <w:p>
      <w:pPr>
        <w:pStyle w:val="BodyText"/>
      </w:pPr>
      <w:r>
        <w:rPr>
          <w:b/>
          <w:bCs/>
        </w:rPr>
        <w:t xml:space="preserve">Claim 14</w:t>
      </w:r>
      <w:r>
        <w:t xml:space="preserve">: The method of Claim 4, wherein sector-adaptive normalization adjusts bounds using industry profiles: lower = max(0.01, mean − 2σ), upper = mean + 2σ.</w:t>
      </w:r>
    </w:p>
    <w:p>
      <w:pPr>
        <w:pStyle w:val="BodyText"/>
      </w:pPr>
      <w:r>
        <w:rPr>
          <w:b/>
          <w:bCs/>
        </w:rPr>
        <w:t xml:space="preserve">Claim 15</w:t>
      </w:r>
      <w:r>
        <w:t xml:space="preserve">: The method of Claim 4, wherein sigmoid curves are applied to tail-risk features: ratio = 1 / (1 + e^(−k × (val − x₀))), k = 6/(hi − lo), x₀ = (hi + lo)/2.</w:t>
      </w:r>
    </w:p>
    <w:p>
      <w:pPr>
        <w:pStyle w:val="BodyText"/>
      </w:pPr>
      <w:r>
        <w:rPr>
          <w:b/>
          <w:bCs/>
        </w:rPr>
        <w:t xml:space="preserve">Claim 16</w:t>
      </w:r>
      <w:r>
        <w:t xml:space="preserve">: The method of Claim 1, further comprising counterfactual fairness testing: for top-K SHAP features, replace with median, recompute score, flag if decision flips.</w:t>
      </w:r>
    </w:p>
    <w:p>
      <w:pPr>
        <w:pStyle w:val="BodyText"/>
      </w:pPr>
      <w:r>
        <w:rPr>
          <w:b/>
          <w:bCs/>
        </w:rPr>
        <w:t xml:space="preserve">Claim 17</w:t>
      </w:r>
      <w:r>
        <w:t xml:space="preserve">: The method of Claim 1, wherein hybrid search combining vector similarity with metadata filters is used for cross-collection retrieval.</w:t>
      </w:r>
    </w:p>
    <w:p>
      <w:pPr>
        <w:pStyle w:val="BodyText"/>
      </w:pPr>
      <w:r>
        <w:rPr>
          <w:b/>
          <w:bCs/>
        </w:rPr>
        <w:t xml:space="preserve">Claim 18</w:t>
      </w:r>
      <w:r>
        <w:t xml:space="preserve">: The method of Claim 1, wherein the CAM uses a 110-tag template with LLM synthesis for qualitative sections from verified structured data.</w:t>
      </w:r>
    </w:p>
    <w:p>
      <w:pPr>
        <w:pStyle w:val="BodyText"/>
      </w:pPr>
      <w:r>
        <w:rPr>
          <w:b/>
          <w:bCs/>
        </w:rPr>
        <w:t xml:space="preserve">Claim 19</w:t>
      </w:r>
      <w:r>
        <w:t xml:space="preserve">: The system of Claim 2, wherein each agent inherits a common base class providing event consumption, status broadcasting, namespace-specific PATCH with JSON Schema validation, and POSIX signal handling.</w:t>
      </w:r>
    </w:p>
    <w:p>
      <w:pPr>
        <w:pStyle w:val="BodyText"/>
      </w:pPr>
      <w:r>
        <w:rPr>
          <w:b/>
          <w:bCs/>
        </w:rPr>
        <w:t xml:space="preserve">Claim 20</w:t>
      </w:r>
      <w:r>
        <w:t xml:space="preserve">: The method of Claim 4, wherein differential privacy uses configurable epsilon, noise scale = sensitivity/epsilon, and score clipped to [0.0, 1.0].</w:t>
      </w:r>
    </w:p>
    <w:p>
      <w:r>
        <w:pict>
          <v:rect style="width:0;height:1.5pt" o:hralign="center" o:hrstd="t" o:hr="t"/>
        </w:pict>
      </w:r>
    </w:p>
    <w:bookmarkEnd w:id="61"/>
    <w:bookmarkEnd w:id="62"/>
    <w:bookmarkStart w:id="63" w:name="identification-of-inventors"/>
    <w:p>
      <w:pPr>
        <w:pStyle w:val="Heading2"/>
      </w:pPr>
      <w:r>
        <w:t xml:space="preserve">12) Identification of Inventor(s)</w:t>
      </w:r>
    </w:p>
    <w:p>
      <w:pPr>
        <w:pStyle w:val="FirstParagraph"/>
      </w:pPr>
      <w:r>
        <w:t xml:space="preserve">Full Name:</w:t>
      </w:r>
      <w:r>
        <w:t xml:space="preserve"> </w:t>
      </w:r>
      <w:r>
        <w:rPr>
          <w:b/>
          <w:bCs/>
        </w:rPr>
        <w:t xml:space="preserve">Utkarsh Singh</w:t>
      </w:r>
      <w:r>
        <w:t xml:space="preserve"> </w:t>
      </w:r>
      <w:r>
        <w:t xml:space="preserve">Department: Department of Computer Science and Engineering</w:t>
      </w:r>
      <w:r>
        <w:t xml:space="preserve"> </w:t>
      </w:r>
      <w:r>
        <w:t xml:space="preserve">Institution: SRM University AP, Andhra Pradesh</w:t>
      </w:r>
      <w:r>
        <w:t xml:space="preserve"> </w:t>
      </w:r>
      <w:r>
        <w:t xml:space="preserve">Role in Project: Lead Architect &amp; Backend Systems Designer</w:t>
      </w:r>
      <w:r>
        <w:t xml:space="preserve"> </w:t>
      </w:r>
      <w:r>
        <w:t xml:space="preserve">Email: utkarsh_singh@srmap.edu.in</w:t>
      </w:r>
    </w:p>
    <w:p>
      <w:pPr>
        <w:pStyle w:val="BodyText"/>
      </w:pPr>
      <w:r>
        <w:t xml:space="preserve">Full Name:</w:t>
      </w:r>
      <w:r>
        <w:t xml:space="preserve"> </w:t>
      </w:r>
      <w:r>
        <w:rPr>
          <w:b/>
          <w:bCs/>
        </w:rPr>
        <w:t xml:space="preserve">Shubham Kumar Singh</w:t>
      </w:r>
      <w:r>
        <w:t xml:space="preserve"> </w:t>
      </w:r>
      <w:r>
        <w:t xml:space="preserve">Department: Department of Computer Science and Engineering</w:t>
      </w:r>
      <w:r>
        <w:t xml:space="preserve"> </w:t>
      </w:r>
      <w:r>
        <w:t xml:space="preserve">Institution: SRM University AP, Andhra Pradesh</w:t>
      </w:r>
      <w:r>
        <w:t xml:space="preserve"> </w:t>
      </w:r>
      <w:r>
        <w:t xml:space="preserve">Role in Project: AI/ML &amp; Data Systems Lead</w:t>
      </w:r>
      <w:r>
        <w:t xml:space="preserve"> </w:t>
      </w:r>
      <w:r>
        <w:t xml:space="preserve">Email: shubhamkumar_sanjay@srmap.edu.in</w:t>
      </w:r>
    </w:p>
    <w:p>
      <w:pPr>
        <w:pStyle w:val="BodyText"/>
      </w:pPr>
      <w:r>
        <w:t xml:space="preserve">Full Name:</w:t>
      </w:r>
      <w:r>
        <w:t xml:space="preserve"> </w:t>
      </w:r>
      <w:r>
        <w:rPr>
          <w:b/>
          <w:bCs/>
        </w:rPr>
        <w:t xml:space="preserve">Suryansh Kumar</w:t>
      </w:r>
      <w:r>
        <w:t xml:space="preserve"> </w:t>
      </w:r>
      <w:r>
        <w:t xml:space="preserve">Department: Department of Computer Science and Engineering</w:t>
      </w:r>
      <w:r>
        <w:t xml:space="preserve"> </w:t>
      </w:r>
      <w:r>
        <w:t xml:space="preserve">Institution: SRM University AP, Andhra Pradesh</w:t>
      </w:r>
      <w:r>
        <w:t xml:space="preserve"> </w:t>
      </w:r>
      <w:r>
        <w:t xml:space="preserve">Role in Project: Security, Compliance &amp; Innovation Lead</w:t>
      </w:r>
      <w:r>
        <w:t xml:space="preserve"> </w:t>
      </w:r>
      <w:r>
        <w:t xml:space="preserve">Email: suryansh_kumar@srmap.edu.in</w:t>
      </w:r>
    </w:p>
    <w:p>
      <w:pPr>
        <w:pStyle w:val="BodyText"/>
      </w:pPr>
      <w:r>
        <w:t xml:space="preserve">Full Name:</w:t>
      </w:r>
      <w:r>
        <w:t xml:space="preserve"> </w:t>
      </w:r>
      <w:r>
        <w:rPr>
          <w:b/>
          <w:bCs/>
        </w:rPr>
        <w:t xml:space="preserve">Devraj Sahani</w:t>
      </w:r>
      <w:r>
        <w:t xml:space="preserve"> </w:t>
      </w:r>
      <w:r>
        <w:t xml:space="preserve">Department: Department of Computer Science and Engineering</w:t>
      </w:r>
      <w:r>
        <w:t xml:space="preserve"> </w:t>
      </w:r>
      <w:r>
        <w:t xml:space="preserve">Institution: SRM University AP, Andhra Pradesh</w:t>
      </w:r>
      <w:r>
        <w:t xml:space="preserve"> </w:t>
      </w:r>
      <w:r>
        <w:t xml:space="preserve">Role in Project: Frontend &amp; User Experience Lead</w:t>
      </w:r>
      <w:r>
        <w:t xml:space="preserve"> </w:t>
      </w:r>
      <w:r>
        <w:t xml:space="preserve">Email: sahani_devraj@srmap.edu.in</w:t>
      </w:r>
    </w:p>
    <w:bookmarkEnd w:id="63"/>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3" Target="https://patents.google.com/patent/US20060173772A1/en" TargetMode="External" /><Relationship Type="http://schemas.openxmlformats.org/officeDocument/2006/relationships/hyperlink" Id="rId47" Target="https://patents.google.com/patent/US20080177655A1/en" TargetMode="External" /><Relationship Type="http://schemas.openxmlformats.org/officeDocument/2006/relationships/hyperlink" Id="rId51" Target="https://patents.google.com/patent/US20120158574A1/en" TargetMode="External" /><Relationship Type="http://schemas.openxmlformats.org/officeDocument/2006/relationships/hyperlink" Id="rId55" Target="https://patents.google.com/patent/US20220188837A1/en" TargetMode="External" /><Relationship Type="http://schemas.openxmlformats.org/officeDocument/2006/relationships/hyperlink" Id="rId56" Target="https://patents.google.com/patent/US20260038036A1/en" TargetMode="External" /><Relationship Type="http://schemas.openxmlformats.org/officeDocument/2006/relationships/hyperlink" Id="rId52" Target="https://patents.google.com/patent/US5774882A/en" TargetMode="External" /><Relationship Type="http://schemas.openxmlformats.org/officeDocument/2006/relationships/hyperlink" Id="rId48" Target="https://patents.google.com/patent/US7047219B1/en" TargetMode="External" /><Relationship Type="http://schemas.openxmlformats.org/officeDocument/2006/relationships/hyperlink" Id="rId50" Target="https://patents.google.com/patent/US7991689B1/en" TargetMode="External" /><Relationship Type="http://schemas.openxmlformats.org/officeDocument/2006/relationships/hyperlink" Id="rId46" Target="https://patents.google.com/patent/WO2012006192A2/en" TargetMode="External" /></Relationships>
</file>

<file path=word/_rels/footnotes.xml.rels><?xml version="1.0" encoding="UTF-8"?><Relationships xmlns="http://schemas.openxmlformats.org/package/2006/relationships"><Relationship Type="http://schemas.openxmlformats.org/officeDocument/2006/relationships/hyperlink" Id="rId53" Target="https://patents.google.com/patent/US20060173772A1/en" TargetMode="External" /><Relationship Type="http://schemas.openxmlformats.org/officeDocument/2006/relationships/hyperlink" Id="rId47" Target="https://patents.google.com/patent/US20080177655A1/en" TargetMode="External" /><Relationship Type="http://schemas.openxmlformats.org/officeDocument/2006/relationships/hyperlink" Id="rId51" Target="https://patents.google.com/patent/US20120158574A1/en" TargetMode="External" /><Relationship Type="http://schemas.openxmlformats.org/officeDocument/2006/relationships/hyperlink" Id="rId55" Target="https://patents.google.com/patent/US20220188837A1/en" TargetMode="External" /><Relationship Type="http://schemas.openxmlformats.org/officeDocument/2006/relationships/hyperlink" Id="rId56" Target="https://patents.google.com/patent/US20260038036A1/en" TargetMode="External" /><Relationship Type="http://schemas.openxmlformats.org/officeDocument/2006/relationships/hyperlink" Id="rId52" Target="https://patents.google.com/patent/US5774882A/en" TargetMode="External" /><Relationship Type="http://schemas.openxmlformats.org/officeDocument/2006/relationships/hyperlink" Id="rId48" Target="https://patents.google.com/patent/US7047219B1/en" TargetMode="External" /><Relationship Type="http://schemas.openxmlformats.org/officeDocument/2006/relationships/hyperlink" Id="rId50" Target="https://patents.google.com/patent/US7991689B1/en" TargetMode="External" /><Relationship Type="http://schemas.openxmlformats.org/officeDocument/2006/relationships/hyperlink" Id="rId46" Target="https://patents.google.com/patent/WO2012006192A2/e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2026-07-05T15:44:51Z</dcterms:created>
  <dcterms:modified xsi:type="dcterms:W3CDTF">2026-07-05T15:44:51Z</dcterms:modified>
</cp:coreProperties>
</file>

<file path=docProps/custom.xml><?xml version="1.0" encoding="utf-8"?>
<Properties xmlns="http://schemas.openxmlformats.org/officeDocument/2006/custom-properties" xmlns:vt="http://schemas.openxmlformats.org/officeDocument/2006/docPropsVTypes"/>
</file>