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Ganesh Enterprises 871 LLP</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₹49.00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06 July 2026, 19:05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Ganesh Enterprises 871 LLP, a textile manufacturing company, has a medium risk profile with an approve decision based on the AI analysis. The company's financial health is satisfactory, with a DSCR of 1.798 and an ICR of 0.9235. However, the bank's verdict is pending, and there is a divergence of 7.65% in the bank's data. We recommend approval of the loan with close monitoring of the company's financial performance.</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Ganesh Enterprises 871 LLP is a textile manufacturing company operating in the Indian market. The company has a satisfactory GST status with a low discrepancy percentage of 1.68%. The company's market position is not well-established, and more information is required to assess its competitive advantage.</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Satisfactory GST status with a low discrepancy percentage of 1.68%</w:t>
              <w:br/>
              <w:t xml:space="preserve">• Medium risk profile with an approve decision based on the AI analysis</w:t>
              <w:br/>
              <w:t xml:space="preserve">• DSCR of 1.798 indicates a satisfactory debt servicing capacity</w:t>
              <w:br/>
              <w:t xml:space="preserve">• Low circular trade of 0.0% indicates a low risk of money laundering</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Bank's verdict is pending, indicating potential issues with the company's financial data</w:t>
              <w:br/>
              <w:t xml:space="preserve">• Divergence of 7.65% in the bank's data, which may indicate discrepancies in the company's financial reporting</w:t>
              <w:br/>
              <w:t xml:space="preserve">• Leverage of 1.5022 is relatively high, indicating a high debt burden</w:t>
              <w:br/>
              <w:t xml:space="preserve">• Unknown MCA status, which may indicate potential regulatory issues</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Ganesh Enterprises 871 LLP</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JGVFG8158T</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27JGVFG8158T6ZZ</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N/A</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PENDING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r>
              <w:t xml:space="preserve">N/A</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1.7980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0.9235</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1.5022</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6.5%</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15.3%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1.7%</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7.7%</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₹24.70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the company, with only one news article found. The news sentiment is not available, and more information is required to assess the company's reputation and market position.</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There are no litigations reported against the company, indicating a low risk of legal issues. However, the lack of information on the company's MCA status may indicate potential regulatory issues.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textile manufacturing industry is facing challenges such as increasing competition, fluctuating raw material prices, and changing consumer preferences. The company's ability to adapt to these challenges will be crucial to its success.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MEDIUM</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0.3164</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MEDIUM</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₹39.70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977</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0.2361</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0.2326</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0.0646</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0.0038</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0.0032</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more information on the company's financial performance, including revenue and net worth data</w:t>
              <w:br/>
              <w:t xml:space="preserve">• Address the divergence in the bank's data and ensure accurate financial reporting</w:t>
              <w:br/>
              <w:t xml:space="preserve">• Reduce the company's leverage by decreasing debt or increasing equity</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Matrix Foods Private Limited</w:t>
            </w:r>
          </w:p>
        </w:tc>
        <w:tc>
          <w:tcPr>
            <w:tcW w:type="dxa" w:w="1440"/>
          </w:tcPr>
          <w:p>
            <w:pPr>
              <w:jc w:val="center"/>
            </w:pPr>
            <w:r>
              <w:rPr>
                <w:rFonts w:ascii="Arial" w:hAnsi="Arial"/>
                <w:sz w:val="18"/>
              </w:rPr>
              <w:t xml:space="preserve">₹49.25 Lakh</w:t>
            </w:r>
          </w:p>
        </w:tc>
        <w:tc>
          <w:tcPr>
            <w:tcW w:type="dxa" w:w="1440"/>
          </w:tcPr>
          <w:p>
            <w:pPr>
              <w:jc w:val="center"/>
            </w:pPr>
            <w:r>
              <w:rPr>
                <w:rFonts w:ascii="Arial" w:hAnsi="Arial"/>
                <w:sz w:val="18"/>
              </w:rPr>
              <w:t xml:space="preserve">1.0301</w:t>
            </w:r>
          </w:p>
        </w:tc>
        <w:tc>
          <w:tcPr>
            <w:tcW w:type="dxa" w:w="1440"/>
          </w:tcPr>
          <w:p>
            <w:pPr>
              <w:jc w:val="center"/>
            </w:pPr>
            <w:r>
              <w:rPr>
                <w:rFonts w:ascii="Arial" w:hAnsi="Arial"/>
                <w:sz w:val="18"/>
              </w:rPr>
              <w:t xml:space="preserve">0.6475</w:t>
            </w:r>
          </w:p>
        </w:tc>
        <w:tc>
          <w:tcPr>
            <w:tcW w:type="dxa" w:w="1440"/>
          </w:tcPr>
          <w:p>
            <w:pPr>
              <w:jc w:val="center"/>
            </w:pPr>
            <w:r>
              <w:rPr>
                <w:rFonts w:ascii="Arial" w:hAnsi="Arial"/>
                <w:sz w:val="18"/>
              </w:rPr>
              <w:t xml:space="preserve">2.1942</w:t>
            </w:r>
          </w:p>
        </w:tc>
        <w:tc>
          <w:tcPr>
            <w:tcW w:type="dxa" w:w="1440"/>
          </w:tcPr>
          <w:p>
            <w:pPr>
              <w:jc w:val="center"/>
            </w:pPr>
            <w:r>
              <w:rPr>
                <w:rFonts w:ascii="Arial" w:hAnsi="Arial"/>
                <w:sz w:val="18"/>
              </w:rPr>
              <w:t xml:space="preserve">770</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Kalyani Retail 656 Partnership Firm</w:t>
            </w:r>
          </w:p>
        </w:tc>
        <w:tc>
          <w:tcPr>
            <w:tcW w:type="dxa" w:w="1440"/>
          </w:tcPr>
          <w:p>
            <w:pPr>
              <w:jc w:val="center"/>
            </w:pPr>
            <w:r>
              <w:rPr>
                <w:rFonts w:ascii="Arial" w:hAnsi="Arial"/>
                <w:sz w:val="18"/>
              </w:rPr>
              <w:t xml:space="preserve">₹48.61 Lakh</w:t>
            </w:r>
          </w:p>
        </w:tc>
        <w:tc>
          <w:tcPr>
            <w:tcW w:type="dxa" w:w="1440"/>
          </w:tcPr>
          <w:p>
            <w:pPr>
              <w:jc w:val="center"/>
            </w:pPr>
            <w:r>
              <w:rPr>
                <w:rFonts w:ascii="Arial" w:hAnsi="Arial"/>
                <w:sz w:val="18"/>
              </w:rPr>
              <w:t xml:space="preserve">0.6533</w:t>
            </w:r>
          </w:p>
        </w:tc>
        <w:tc>
          <w:tcPr>
            <w:tcW w:type="dxa" w:w="1440"/>
          </w:tcPr>
          <w:p>
            <w:pPr>
              <w:jc w:val="center"/>
            </w:pPr>
            <w:r>
              <w:rPr>
                <w:rFonts w:ascii="Arial" w:hAnsi="Arial"/>
                <w:sz w:val="18"/>
              </w:rPr>
              <w:t xml:space="preserve">0.3134</w:t>
            </w:r>
          </w:p>
        </w:tc>
        <w:tc>
          <w:tcPr>
            <w:tcW w:type="dxa" w:w="1440"/>
          </w:tcPr>
          <w:p>
            <w:pPr>
              <w:jc w:val="center"/>
            </w:pPr>
            <w:r>
              <w:rPr>
                <w:rFonts w:ascii="Arial" w:hAnsi="Arial"/>
                <w:sz w:val="18"/>
              </w:rPr>
              <w:t xml:space="preserve">2.8237</w:t>
            </w:r>
          </w:p>
        </w:tc>
        <w:tc>
          <w:tcPr>
            <w:tcW w:type="dxa" w:w="1440"/>
          </w:tcPr>
          <w:p>
            <w:pPr>
              <w:jc w:val="center"/>
            </w:pPr>
            <w:r>
              <w:rPr>
                <w:rFonts w:ascii="Arial" w:hAnsi="Arial"/>
                <w:sz w:val="18"/>
              </w:rPr>
              <w:t xml:space="preserve">652</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Kalyani Healthcare 453 Private Limited</w:t>
            </w:r>
          </w:p>
        </w:tc>
        <w:tc>
          <w:tcPr>
            <w:tcW w:type="dxa" w:w="1440"/>
          </w:tcPr>
          <w:p>
            <w:pPr>
              <w:jc w:val="center"/>
            </w:pPr>
            <w:r>
              <w:rPr>
                <w:rFonts w:ascii="Arial" w:hAnsi="Arial"/>
                <w:sz w:val="18"/>
              </w:rPr>
              <w:t xml:space="preserve">₹47.14 Lakh</w:t>
            </w:r>
          </w:p>
        </w:tc>
        <w:tc>
          <w:tcPr>
            <w:tcW w:type="dxa" w:w="1440"/>
          </w:tcPr>
          <w:p>
            <w:pPr>
              <w:jc w:val="center"/>
            </w:pPr>
            <w:r>
              <w:rPr>
                <w:rFonts w:ascii="Arial" w:hAnsi="Arial"/>
                <w:sz w:val="18"/>
              </w:rPr>
              <w:t xml:space="preserve">1.2955</w:t>
            </w:r>
          </w:p>
        </w:tc>
        <w:tc>
          <w:tcPr>
            <w:tcW w:type="dxa" w:w="1440"/>
          </w:tcPr>
          <w:p>
            <w:pPr>
              <w:jc w:val="center"/>
            </w:pPr>
            <w:r>
              <w:rPr>
                <w:rFonts w:ascii="Arial" w:hAnsi="Arial"/>
                <w:sz w:val="18"/>
              </w:rPr>
              <w:t xml:space="preserve">0.9692</w:t>
            </w:r>
          </w:p>
        </w:tc>
        <w:tc>
          <w:tcPr>
            <w:tcW w:type="dxa" w:w="1440"/>
          </w:tcPr>
          <w:p>
            <w:pPr>
              <w:jc w:val="center"/>
            </w:pPr>
            <w:r>
              <w:rPr>
                <w:rFonts w:ascii="Arial" w:hAnsi="Arial"/>
                <w:sz w:val="18"/>
              </w:rPr>
              <w:t xml:space="preserve">1.2934</w:t>
            </w:r>
          </w:p>
        </w:tc>
        <w:tc>
          <w:tcPr>
            <w:tcW w:type="dxa" w:w="1440"/>
          </w:tcPr>
          <w:p>
            <w:pPr>
              <w:jc w:val="center"/>
            </w:pPr>
            <w:r>
              <w:rPr>
                <w:rFonts w:ascii="Arial" w:hAnsi="Arial"/>
                <w:sz w:val="18"/>
              </w:rPr>
              <w:t xml:space="preserve">755</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Hindustan Pharma 314 Partnership Firm</w:t>
            </w:r>
          </w:p>
        </w:tc>
        <w:tc>
          <w:tcPr>
            <w:tcW w:type="dxa" w:w="1440"/>
          </w:tcPr>
          <w:p>
            <w:pPr>
              <w:jc w:val="center"/>
            </w:pPr>
            <w:r>
              <w:rPr>
                <w:rFonts w:ascii="Arial" w:hAnsi="Arial"/>
                <w:sz w:val="18"/>
              </w:rPr>
              <w:t xml:space="preserve">₹50.86 Lakh</w:t>
            </w:r>
          </w:p>
        </w:tc>
        <w:tc>
          <w:tcPr>
            <w:tcW w:type="dxa" w:w="1440"/>
          </w:tcPr>
          <w:p>
            <w:pPr>
              <w:jc w:val="center"/>
            </w:pPr>
            <w:r>
              <w:rPr>
                <w:rFonts w:ascii="Arial" w:hAnsi="Arial"/>
                <w:sz w:val="18"/>
              </w:rPr>
              <w:t xml:space="preserve">1.3940</w:t>
            </w:r>
          </w:p>
        </w:tc>
        <w:tc>
          <w:tcPr>
            <w:tcW w:type="dxa" w:w="1440"/>
          </w:tcPr>
          <w:p>
            <w:pPr>
              <w:jc w:val="center"/>
            </w:pPr>
            <w:r>
              <w:rPr>
                <w:rFonts w:ascii="Arial" w:hAnsi="Arial"/>
                <w:sz w:val="18"/>
              </w:rPr>
              <w:t xml:space="preserve">1.0150</w:t>
            </w:r>
          </w:p>
        </w:tc>
        <w:tc>
          <w:tcPr>
            <w:tcW w:type="dxa" w:w="1440"/>
          </w:tcPr>
          <w:p>
            <w:pPr>
              <w:jc w:val="center"/>
            </w:pPr>
            <w:r>
              <w:rPr>
                <w:rFonts w:ascii="Arial" w:hAnsi="Arial"/>
                <w:sz w:val="18"/>
              </w:rPr>
              <w:t xml:space="preserve">1.5003</w:t>
            </w:r>
          </w:p>
        </w:tc>
        <w:tc>
          <w:tcPr>
            <w:tcW w:type="dxa" w:w="1440"/>
          </w:tcPr>
          <w:p>
            <w:pPr>
              <w:jc w:val="center"/>
            </w:pPr>
            <w:r>
              <w:rPr>
                <w:rFonts w:ascii="Arial" w:hAnsi="Arial"/>
                <w:sz w:val="18"/>
              </w:rPr>
              <w:t xml:space="preserve">788</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Kalyani Automotive 772 Private Limited</w:t>
            </w:r>
          </w:p>
        </w:tc>
        <w:tc>
          <w:tcPr>
            <w:tcW w:type="dxa" w:w="1440"/>
          </w:tcPr>
          <w:p>
            <w:pPr>
              <w:jc w:val="center"/>
            </w:pPr>
            <w:r>
              <w:rPr>
                <w:rFonts w:ascii="Arial" w:hAnsi="Arial"/>
                <w:sz w:val="18"/>
              </w:rPr>
              <w:t xml:space="preserve">₹51.19 Lakh</w:t>
            </w:r>
          </w:p>
        </w:tc>
        <w:tc>
          <w:tcPr>
            <w:tcW w:type="dxa" w:w="1440"/>
          </w:tcPr>
          <w:p>
            <w:pPr>
              <w:jc w:val="center"/>
            </w:pPr>
            <w:r>
              <w:rPr>
                <w:rFonts w:ascii="Arial" w:hAnsi="Arial"/>
                <w:sz w:val="18"/>
              </w:rPr>
              <w:t xml:space="preserve">1.1370</w:t>
            </w:r>
          </w:p>
        </w:tc>
        <w:tc>
          <w:tcPr>
            <w:tcW w:type="dxa" w:w="1440"/>
          </w:tcPr>
          <w:p>
            <w:pPr>
              <w:jc w:val="center"/>
            </w:pPr>
            <w:r>
              <w:rPr>
                <w:rFonts w:ascii="Arial" w:hAnsi="Arial"/>
                <w:sz w:val="18"/>
              </w:rPr>
              <w:t xml:space="preserve">0.5353</w:t>
            </w:r>
          </w:p>
        </w:tc>
        <w:tc>
          <w:tcPr>
            <w:tcW w:type="dxa" w:w="1440"/>
          </w:tcPr>
          <w:p>
            <w:pPr>
              <w:jc w:val="center"/>
            </w:pPr>
            <w:r>
              <w:rPr>
                <w:rFonts w:ascii="Arial" w:hAnsi="Arial"/>
                <w:sz w:val="18"/>
              </w:rPr>
              <w:t xml:space="preserve">1.7146</w:t>
            </w:r>
          </w:p>
        </w:tc>
        <w:tc>
          <w:tcPr>
            <w:tcW w:type="dxa" w:w="1440"/>
          </w:tcPr>
          <w:p>
            <w:pPr>
              <w:jc w:val="center"/>
            </w:pPr>
            <w:r>
              <w:rPr>
                <w:rFonts w:ascii="Arial" w:hAnsi="Arial"/>
                <w:sz w:val="18"/>
              </w:rPr>
              <w:t xml:space="preserve">718</w:t>
            </w:r>
          </w:p>
        </w:tc>
        <w:tc>
          <w:tcPr>
            <w:tcW w:type="dxa" w:w="1440"/>
          </w:tcPr>
          <w:p>
            <w:pPr>
              <w:jc w:val="center"/>
            </w:pPr>
            <w:r>
              <w:rPr>
                <w:rFonts w:ascii="Arial" w:hAnsi="Arial"/>
                <w:sz w:val="18"/>
              </w:rPr>
              <w:t xml:space="preserve">REJECTED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1.2128</w:t>
            </w:r>
          </w:p>
        </w:tc>
        <w:tc>
          <w:tcPr>
            <w:tcW w:type="dxa" w:w="1440"/>
            <w:shd w:fill="F3F4F6"/>
          </w:tcPr>
          <w:p>
            <w:pPr>
              <w:jc w:val="center"/>
            </w:pPr>
            <w:r>
              <w:rPr>
                <w:rFonts w:ascii="Arial" w:hAnsi="Arial"/>
                <w:b/>
                <w:sz w:val="18"/>
              </w:rPr>
              <w:t xml:space="preserve">0.8289</w:t>
            </w:r>
          </w:p>
        </w:tc>
        <w:tc>
          <w:tcPr>
            <w:tcW w:type="dxa" w:w="1440"/>
            <w:shd w:fill="F3F4F6"/>
          </w:tcPr>
          <w:p>
            <w:pPr>
              <w:jc w:val="center"/>
            </w:pPr>
            <w:r>
              <w:rPr>
                <w:rFonts w:ascii="Arial" w:hAnsi="Arial"/>
                <w:b/>
                <w:sz w:val="18"/>
              </w:rPr>
              <w:t xml:space="preserve">1.8667</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 [DATA INSUFFICIENT]</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is fair and unbiased, with no flips reported in the bias testing. The model has been tested for bias, and the results indicate that the decision is not influenced by any biases.</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findings indicate that the company's management is experienced and has a good understanding of the business. However, more information is required to assess the company's financial performance and risk profile.</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