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Vidya Energy 434 Partnership Firm</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₹25.00 Lakh</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10 July 2026, 08:52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Vidya Energy 434 Partnership Firm, a chemical processing company, exhibits a moderate financial health with a DSCR of 1.59 and an ICR of 2.38, indicating a relatively strong debt service capacity. However, the risk verdict is WARNING, and the decision is MANDATORY REVIEW due to stress test failure and forensic alerts. We recommend a thorough review of the company's financials and corrective actions to improve its credit profile.</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Vidya Energy 434 Partnership Firm operates in the chemical processing industry, with a revenue of ₹4.55 Cr and an EBITDA of ₹62.71 Lakh. The company has a moderate market position, with a CIBIL score of 801. Its industry is subject to various challenges, including fluctuations in raw material prices and environmental regulations.</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Strong ICR of 2.38, indicating a healthy interest coverage</w:t>
              <w:br/>
              <w:t xml:space="preserve">• Moderate DSCR of 1.59, suggesting a relatively stable debt service capacity</w:t>
              <w:br/>
              <w:t xml:space="preserve">• Low leverage of 1.50, indicating a manageable debt burden</w:t>
              <w:br/>
              <w:t xml:space="preserve">• Positive news sentiment, with a sentiment tag of POSITIVE</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Stress test failure, with a worst-case DSCR of -1.40, indicating a high risk of debt service collapse</w:t>
              <w:br/>
              <w:t xml:space="preserve">• Forensic alert due to a high cheque bounce count of 12 in 12 months, indicating potential cash flow issues</w:t>
              <w:br/>
              <w:t xml:space="preserve">• High risk score of 0.32, indicating a HIGH risk band</w:t>
              <w:br/>
              <w:t xml:space="preserve">• Warning verdict from the bank, indicating potential concerns with the company's financials</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Vidya Energy 434 Partnership Firm</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FGPFV7539J</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36FGPFV7539J7ZT</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N/A</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VALID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Vidya Energy 434 Partnership Firm</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Firm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2025-02-22</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finance@vidyaenergy434partnershipfirm.in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+91-7724806828</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XXXX-XXXX-8588</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YES</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Telangana, India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0.90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NSDL_API_VERIFIED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2025-09-30</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43252925, 51555411</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None</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2026-07-10T08:50:59.242694+00:00</w:t>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r>
              <w:t xml:space="preserve">VERIFIED — All KYC matching completed successfully</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₹4.55 Cr</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₹62.71 Lakh</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₹20.47 Lakh</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₹2.73 Cr</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₹1.82 Cr</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₹26.31 Lakh</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₹32.79 Lakh</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₹3.92 Cr</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₹20.47 Lakh</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801</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68.8%</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1.1%</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115</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1.5931</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2.3838</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1.5005</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13.8%</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16.6%</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115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1.8%</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WARNING</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₹4.55 Cr</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₹4.55 Cr</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₹20.47 Lakh</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₹29.92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12</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 company has a positive news sentiment, with a sentiment tag of POSITIVE, indicating a favorable market perception. The news summary suggests that the company is actively engaged in its industry, with a focus on growth and expansion. The positive news sentiment is a key strength for the company, indicating a strong reputation and market presence.</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The company has no ongoing litigations, with a litigation count of 0, indicating a low risk of legal disputes. The company's legal status is ACTIVE, and it is not a defaulter, indicating a strong compliance record. The lack of litigations is a key strength for the company, indicating a low risk of legal issues.</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chemical processing industry is subject to various challenges, including fluctuations in raw material prices, environmental regulations, and intense competition. The company must navigate these headwinds to maintain its market position and financial stability. The industry challenges are a key concern for the company, indicating a high risk of market volatility.</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MANDATORY REVIEW</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HIGH</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0.3226</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HIGH</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v2.1_production</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₹20.16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979</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current_ratio</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0.3114</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icr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0.2943</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ebitda_margin</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0.2607</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revenue_growth_yoy</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0.2147</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dscr</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0.2041</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 Stress Test Failed: Debt service capacity collapses under simulated stress.</w:t>
              <w:br/>
              <w:t xml:space="preserve">• Forensic Alert: High Cheque Bounce Count (12 in 12 months).</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Improve debt service capacity by increasing revenue or reducing debt</w:t>
              <w:br/>
              <w:t xml:space="preserve">• Enhance cash flow management to reduce cheque bounce count</w:t>
              <w:br/>
              <w:t xml:space="preserve">• Diversify raw material sources to mitigate price fluctuations</w:t>
              <w:br/>
              <w:t xml:space="preserve">• Invest in environmental sustainability initiatives to comply with regulations</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Sterling Infrastructure 829 Partnership Firm</w:t>
            </w:r>
          </w:p>
        </w:tc>
        <w:tc>
          <w:tcPr>
            <w:tcW w:type="dxa" w:w="1440"/>
          </w:tcPr>
          <w:p>
            <w:pPr>
              <w:jc w:val="center"/>
            </w:pPr>
            <w:r>
              <w:rPr>
                <w:rFonts w:ascii="Arial" w:hAnsi="Arial"/>
                <w:sz w:val="18"/>
              </w:rPr>
              <w:t xml:space="preserve">₹4.54 Cr</w:t>
            </w:r>
          </w:p>
        </w:tc>
        <w:tc>
          <w:tcPr>
            <w:tcW w:type="dxa" w:w="1440"/>
          </w:tcPr>
          <w:p>
            <w:pPr>
              <w:jc w:val="center"/>
            </w:pPr>
            <w:r>
              <w:rPr>
                <w:rFonts w:ascii="Arial" w:hAnsi="Arial"/>
                <w:sz w:val="18"/>
              </w:rPr>
              <w:t xml:space="preserve">1.6674</w:t>
            </w:r>
          </w:p>
        </w:tc>
        <w:tc>
          <w:tcPr>
            <w:tcW w:type="dxa" w:w="1440"/>
          </w:tcPr>
          <w:p>
            <w:pPr>
              <w:jc w:val="center"/>
            </w:pPr>
            <w:r>
              <w:rPr>
                <w:rFonts w:ascii="Arial" w:hAnsi="Arial"/>
                <w:sz w:val="18"/>
              </w:rPr>
              <w:t xml:space="preserve">3.2150</w:t>
            </w:r>
          </w:p>
        </w:tc>
        <w:tc>
          <w:tcPr>
            <w:tcW w:type="dxa" w:w="1440"/>
          </w:tcPr>
          <w:p>
            <w:pPr>
              <w:jc w:val="center"/>
            </w:pPr>
            <w:r>
              <w:rPr>
                <w:rFonts w:ascii="Arial" w:hAnsi="Arial"/>
                <w:sz w:val="18"/>
              </w:rPr>
              <w:t xml:space="preserve">1.2519</w:t>
            </w:r>
          </w:p>
        </w:tc>
        <w:tc>
          <w:tcPr>
            <w:tcW w:type="dxa" w:w="1440"/>
          </w:tcPr>
          <w:p>
            <w:pPr>
              <w:jc w:val="center"/>
            </w:pPr>
            <w:r>
              <w:rPr>
                <w:rFonts w:ascii="Arial" w:hAnsi="Arial"/>
                <w:sz w:val="18"/>
              </w:rPr>
              <w:t xml:space="preserve">771</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Karan Retail 687 Partnership Firm</w:t>
            </w:r>
          </w:p>
        </w:tc>
        <w:tc>
          <w:tcPr>
            <w:tcW w:type="dxa" w:w="1440"/>
          </w:tcPr>
          <w:p>
            <w:pPr>
              <w:jc w:val="center"/>
            </w:pPr>
            <w:r>
              <w:rPr>
                <w:rFonts w:ascii="Arial" w:hAnsi="Arial"/>
                <w:sz w:val="18"/>
              </w:rPr>
              <w:t xml:space="preserve">₹4.56 Cr</w:t>
            </w:r>
          </w:p>
        </w:tc>
        <w:tc>
          <w:tcPr>
            <w:tcW w:type="dxa" w:w="1440"/>
          </w:tcPr>
          <w:p>
            <w:pPr>
              <w:jc w:val="center"/>
            </w:pPr>
            <w:r>
              <w:rPr>
                <w:rFonts w:ascii="Arial" w:hAnsi="Arial"/>
                <w:sz w:val="18"/>
              </w:rPr>
              <w:t xml:space="preserve">1.2600</w:t>
            </w:r>
          </w:p>
        </w:tc>
        <w:tc>
          <w:tcPr>
            <w:tcW w:type="dxa" w:w="1440"/>
          </w:tcPr>
          <w:p>
            <w:pPr>
              <w:jc w:val="center"/>
            </w:pPr>
            <w:r>
              <w:rPr>
                <w:rFonts w:ascii="Arial" w:hAnsi="Arial"/>
                <w:sz w:val="18"/>
              </w:rPr>
              <w:t xml:space="preserve">1.2422</w:t>
            </w:r>
          </w:p>
        </w:tc>
        <w:tc>
          <w:tcPr>
            <w:tcW w:type="dxa" w:w="1440"/>
          </w:tcPr>
          <w:p>
            <w:pPr>
              <w:jc w:val="center"/>
            </w:pPr>
            <w:r>
              <w:rPr>
                <w:rFonts w:ascii="Arial" w:hAnsi="Arial"/>
                <w:sz w:val="18"/>
              </w:rPr>
              <w:t xml:space="preserve">1.4100</w:t>
            </w:r>
          </w:p>
        </w:tc>
        <w:tc>
          <w:tcPr>
            <w:tcW w:type="dxa" w:w="1440"/>
          </w:tcPr>
          <w:p>
            <w:pPr>
              <w:jc w:val="center"/>
            </w:pPr>
            <w:r>
              <w:rPr>
                <w:rFonts w:ascii="Arial" w:hAnsi="Arial"/>
                <w:sz w:val="18"/>
              </w:rPr>
              <w:t xml:space="preserve">783</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Bharat Automotive LLP</w:t>
            </w:r>
          </w:p>
        </w:tc>
        <w:tc>
          <w:tcPr>
            <w:tcW w:type="dxa" w:w="1440"/>
          </w:tcPr>
          <w:p>
            <w:pPr>
              <w:jc w:val="center"/>
            </w:pPr>
            <w:r>
              <w:rPr>
                <w:rFonts w:ascii="Arial" w:hAnsi="Arial"/>
                <w:sz w:val="18"/>
              </w:rPr>
              <w:t xml:space="preserve">₹4.53 Cr</w:t>
            </w:r>
          </w:p>
        </w:tc>
        <w:tc>
          <w:tcPr>
            <w:tcW w:type="dxa" w:w="1440"/>
          </w:tcPr>
          <w:p>
            <w:pPr>
              <w:jc w:val="center"/>
            </w:pPr>
            <w:r>
              <w:rPr>
                <w:rFonts w:ascii="Arial" w:hAnsi="Arial"/>
                <w:sz w:val="18"/>
              </w:rPr>
              <w:t xml:space="preserve">1.2526</w:t>
            </w:r>
          </w:p>
        </w:tc>
        <w:tc>
          <w:tcPr>
            <w:tcW w:type="dxa" w:w="1440"/>
          </w:tcPr>
          <w:p>
            <w:pPr>
              <w:jc w:val="center"/>
            </w:pPr>
            <w:r>
              <w:rPr>
                <w:rFonts w:ascii="Arial" w:hAnsi="Arial"/>
                <w:sz w:val="18"/>
              </w:rPr>
              <w:t xml:space="preserve">1.4859</w:t>
            </w:r>
          </w:p>
        </w:tc>
        <w:tc>
          <w:tcPr>
            <w:tcW w:type="dxa" w:w="1440"/>
          </w:tcPr>
          <w:p>
            <w:pPr>
              <w:jc w:val="center"/>
            </w:pPr>
            <w:r>
              <w:rPr>
                <w:rFonts w:ascii="Arial" w:hAnsi="Arial"/>
                <w:sz w:val="18"/>
              </w:rPr>
              <w:t xml:space="preserve">1.7019</w:t>
            </w:r>
          </w:p>
        </w:tc>
        <w:tc>
          <w:tcPr>
            <w:tcW w:type="dxa" w:w="1440"/>
          </w:tcPr>
          <w:p>
            <w:pPr>
              <w:jc w:val="center"/>
            </w:pPr>
            <w:r>
              <w:rPr>
                <w:rFonts w:ascii="Arial" w:hAnsi="Arial"/>
                <w:sz w:val="18"/>
              </w:rPr>
              <w:t xml:space="preserve">751</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Zenith Solutions 886 LLP</w:t>
            </w:r>
          </w:p>
        </w:tc>
        <w:tc>
          <w:tcPr>
            <w:tcW w:type="dxa" w:w="1440"/>
          </w:tcPr>
          <w:p>
            <w:pPr>
              <w:jc w:val="center"/>
            </w:pPr>
            <w:r>
              <w:rPr>
                <w:rFonts w:ascii="Arial" w:hAnsi="Arial"/>
                <w:sz w:val="18"/>
              </w:rPr>
              <w:t xml:space="preserve">₹4.52 Cr</w:t>
            </w:r>
          </w:p>
        </w:tc>
        <w:tc>
          <w:tcPr>
            <w:tcW w:type="dxa" w:w="1440"/>
          </w:tcPr>
          <w:p>
            <w:pPr>
              <w:jc w:val="center"/>
            </w:pPr>
            <w:r>
              <w:rPr>
                <w:rFonts w:ascii="Arial" w:hAnsi="Arial"/>
                <w:sz w:val="18"/>
              </w:rPr>
              <w:t xml:space="preserve">1.3632</w:t>
            </w:r>
          </w:p>
        </w:tc>
        <w:tc>
          <w:tcPr>
            <w:tcW w:type="dxa" w:w="1440"/>
          </w:tcPr>
          <w:p>
            <w:pPr>
              <w:jc w:val="center"/>
            </w:pPr>
            <w:r>
              <w:rPr>
                <w:rFonts w:ascii="Arial" w:hAnsi="Arial"/>
                <w:sz w:val="18"/>
              </w:rPr>
              <w:t xml:space="preserve">0.8487</w:t>
            </w:r>
          </w:p>
        </w:tc>
        <w:tc>
          <w:tcPr>
            <w:tcW w:type="dxa" w:w="1440"/>
          </w:tcPr>
          <w:p>
            <w:pPr>
              <w:jc w:val="center"/>
            </w:pPr>
            <w:r>
              <w:rPr>
                <w:rFonts w:ascii="Arial" w:hAnsi="Arial"/>
                <w:sz w:val="18"/>
              </w:rPr>
              <w:t xml:space="preserve">1.7243</w:t>
            </w:r>
          </w:p>
        </w:tc>
        <w:tc>
          <w:tcPr>
            <w:tcW w:type="dxa" w:w="1440"/>
          </w:tcPr>
          <w:p>
            <w:pPr>
              <w:jc w:val="center"/>
            </w:pPr>
            <w:r>
              <w:rPr>
                <w:rFonts w:ascii="Arial" w:hAnsi="Arial"/>
                <w:sz w:val="18"/>
              </w:rPr>
              <w:t xml:space="preserve">786</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Vidya Logistics 800 LLP</w:t>
            </w:r>
          </w:p>
        </w:tc>
        <w:tc>
          <w:tcPr>
            <w:tcW w:type="dxa" w:w="1440"/>
          </w:tcPr>
          <w:p>
            <w:pPr>
              <w:jc w:val="center"/>
            </w:pPr>
            <w:r>
              <w:rPr>
                <w:rFonts w:ascii="Arial" w:hAnsi="Arial"/>
                <w:sz w:val="18"/>
              </w:rPr>
              <w:t xml:space="preserve">₹4.59 Cr</w:t>
            </w:r>
          </w:p>
        </w:tc>
        <w:tc>
          <w:tcPr>
            <w:tcW w:type="dxa" w:w="1440"/>
          </w:tcPr>
          <w:p>
            <w:pPr>
              <w:jc w:val="center"/>
            </w:pPr>
            <w:r>
              <w:rPr>
                <w:rFonts w:ascii="Arial" w:hAnsi="Arial"/>
                <w:sz w:val="18"/>
              </w:rPr>
              <w:t xml:space="preserve">1.2158</w:t>
            </w:r>
          </w:p>
        </w:tc>
        <w:tc>
          <w:tcPr>
            <w:tcW w:type="dxa" w:w="1440"/>
          </w:tcPr>
          <w:p>
            <w:pPr>
              <w:jc w:val="center"/>
            </w:pPr>
            <w:r>
              <w:rPr>
                <w:rFonts w:ascii="Arial" w:hAnsi="Arial"/>
                <w:sz w:val="18"/>
              </w:rPr>
              <w:t xml:space="preserve">1.1370</w:t>
            </w:r>
          </w:p>
        </w:tc>
        <w:tc>
          <w:tcPr>
            <w:tcW w:type="dxa" w:w="1440"/>
          </w:tcPr>
          <w:p>
            <w:pPr>
              <w:jc w:val="center"/>
            </w:pPr>
            <w:r>
              <w:rPr>
                <w:rFonts w:ascii="Arial" w:hAnsi="Arial"/>
                <w:sz w:val="18"/>
              </w:rPr>
              <w:t xml:space="preserve">2.1958</w:t>
            </w:r>
          </w:p>
        </w:tc>
        <w:tc>
          <w:tcPr>
            <w:tcW w:type="dxa" w:w="1440"/>
          </w:tcPr>
          <w:p>
            <w:pPr>
              <w:jc w:val="center"/>
            </w:pPr>
            <w:r>
              <w:rPr>
                <w:rFonts w:ascii="Arial" w:hAnsi="Arial"/>
                <w:sz w:val="18"/>
              </w:rPr>
              <w:t xml:space="preserve">653</w:t>
            </w:r>
          </w:p>
        </w:tc>
        <w:tc>
          <w:tcPr>
            <w:tcW w:type="dxa" w:w="1440"/>
          </w:tcPr>
          <w:p>
            <w:pPr>
              <w:jc w:val="center"/>
            </w:pPr>
            <w:r>
              <w:rPr>
                <w:rFonts w:ascii="Arial" w:hAnsi="Arial"/>
                <w:sz w:val="18"/>
              </w:rPr>
              <w:t xml:space="preserve">REJECTED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1.4047</w:t>
            </w:r>
          </w:p>
        </w:tc>
        <w:tc>
          <w:tcPr>
            <w:tcW w:type="dxa" w:w="1440"/>
            <w:shd w:fill="F3F4F6"/>
          </w:tcPr>
          <w:p>
            <w:pPr>
              <w:jc w:val="center"/>
            </w:pPr>
            <w:r>
              <w:rPr>
                <w:rFonts w:ascii="Arial" w:hAnsi="Arial"/>
                <w:b/>
                <w:sz w:val="18"/>
              </w:rPr>
              <w:t xml:space="preserve">1.6310</w:t>
            </w:r>
          </w:p>
        </w:tc>
        <w:tc>
          <w:tcPr>
            <w:tcW w:type="dxa" w:w="1440"/>
            <w:shd w:fill="F3F4F6"/>
          </w:tcPr>
          <w:p>
            <w:pPr>
              <w:jc w:val="center"/>
            </w:pPr>
            <w:r>
              <w:rPr>
                <w:rFonts w:ascii="Arial" w:hAnsi="Arial"/>
                <w:b/>
                <w:sz w:val="18"/>
              </w:rPr>
              <w:t xml:space="preserve">1.4916</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-1.4038</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CRITICAL</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0.9744</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CRITICAL</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-1.2890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CRITICAL</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-1.4038</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CRITICAL</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has been tested for bias, with no flips detected, indicating a fair and unbiased assessment. The risk score and verdict are based on a comprehensive analysis of the company's financials and industry trends. The lack of bias is a key strength for the AI decision, indicating a reliable and trustworthy assessment.</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No personal discussion was conducted; recommend scheduling one before final sign-off.</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