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Zenith Enterprises 958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21 June 2026, 16:40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financial health of Zenith Enterprises 958 Private Limited is satisfactory, with a low risk score of 0.0625 and a DSCR of 1.0613, indicating a positive credit profile. The risk verdict is LOW, and the recommendation is to APPROVE the loan application. The company's leverage is moderate at 2.4738, and the stress test verdict indicates that it can survive adverse conditions. Overall, the credit profile of the company is strong, and the loan application is recommended for approval.</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Zenith Enterprises 958 Private Limited operates in the Tourism  Hospitality industry, with an unknown market position due to lack of financial data. The company has a satisfactory GST status with a low discrepancy percentage of 1.33%. The industry is subject to various challenges, including seasonal fluctuations and intense competition.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0.0625, indicating a positive credit profile</w:t>
              <w:br/>
              <w:t xml:space="preserve">• Satisfactory GST status with a low discrepancy percentage of 1.33%</w:t>
              <w:br/>
              <w:t xml:space="preserve">• Moderate leverage of 2.4738, indicating a manageable debt level</w:t>
              <w:br/>
              <w:t xml:space="preserve">• Positive stress test verdict, indicating the company can survive adverse conditions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including revenue, EBITDA, total debt, and net worth</w:t>
              <w:br/>
              <w:t xml:space="preserve">• Unknown market position in the Tourism  Hospitality industry</w:t>
              <w:br/>
              <w:t xml:space="preserve">• Moderate leverage, which may be a concern in adverse market conditions</w:t>
              <w:br/>
              <w:t xml:space="preserve">• Limited news and litigation data available</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Zenith Enterprises 958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RNMCZ7688R</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09RNMCZ7688R1ZZ</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L55101UP2025PLC929195</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Zenith Enterprises 958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info@zenithenterprises.in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022-12345678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101, Zenith Tower, Mumbai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'0234567890']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₹25.00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750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1.0613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0.9451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2.4738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9.9%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9.5%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1.3%</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₹80.00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3.1%</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₹30.02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Zenith Enterprises 958 Private Limited, with only one news article found. The sentiment of the news is unknown due to the lack of data. The company's promoter news sentiment is also unknown.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litigations reported against Zenith Enterprises 958 Private Limited, indicating a low litigation risk. The company's legal profile appears to be clean, with no major disputes or court cases.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Tourism  Hospitality industry is subject to various challenges, including seasonal fluctuations, intense competition, and changing consumer preferences. The industry is also affected by government regulations and policies, which can impact the company's operations and profitability.</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0.0625</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₹19.25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875</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0.0947</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0.0813</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0.0605</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0.0027</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including revenue, EBITDA, total debt, and net worth</w:t>
              <w:br/>
              <w:t xml:space="preserve">• Improve GST compliance and reduce discrepancy percentage</w:t>
              <w:br/>
              <w:t xml:space="preserve">• Monitor and manage leverage to ensure it remains at a manageable level</w:t>
              <w:br/>
              <w:t xml:space="preserve">• Enhance news and litigation data availability to improve transparency</w:t>
            </w:r>
          </w:p>
        </w:tc>
      </w:tr>
    </w:tbl>
    <w:p>
      <w:pPr>
        <w:spacing w:before="360" w:after="120"/>
      </w:pPr>
      <w:r>
        <w:rPr>
          <w:rFonts w:ascii="Arial" w:hAnsi="Arial"/>
          <w:b/>
          <w:color w:val="1E3A8A"/>
          <w:sz w:val="24"/>
        </w:rPr>
        <w:t>Section D — Comparable Case Analysis  (Sector Peers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Vanguard Logistics 815 Private Limited</w:t>
            </w:r>
          </w:p>
        </w:tc>
        <w:tc>
          <w:tcPr>
            <w:tcW w:type="dxa" w:w="1440"/>
          </w:tcPr>
          <w:p>
            <w:pPr>
              <w:jc w:val="center"/>
            </w:pPr>
            <w:r>
              <w:rPr>
                <w:rFonts w:ascii="Arial" w:hAnsi="Arial"/>
                <w:sz w:val="18"/>
              </w:rPr>
              <w:t xml:space="preserve">₹25.59 Lakh</w:t>
            </w:r>
          </w:p>
        </w:tc>
        <w:tc>
          <w:tcPr>
            <w:tcW w:type="dxa" w:w="1440"/>
          </w:tcPr>
          <w:p>
            <w:pPr>
              <w:jc w:val="center"/>
            </w:pPr>
            <w:r>
              <w:rPr>
                <w:rFonts w:ascii="Arial" w:hAnsi="Arial"/>
                <w:sz w:val="18"/>
              </w:rPr>
              <w:t xml:space="preserve">1.7050</w:t>
            </w:r>
          </w:p>
        </w:tc>
        <w:tc>
          <w:tcPr>
            <w:tcW w:type="dxa" w:w="1440"/>
          </w:tcPr>
          <w:p>
            <w:pPr>
              <w:jc w:val="center"/>
            </w:pPr>
            <w:r>
              <w:rPr>
                <w:rFonts w:ascii="Arial" w:hAnsi="Arial"/>
                <w:sz w:val="18"/>
              </w:rPr>
              <w:t xml:space="preserve">3.0678</w:t>
            </w:r>
          </w:p>
        </w:tc>
        <w:tc>
          <w:tcPr>
            <w:tcW w:type="dxa" w:w="1440"/>
          </w:tcPr>
          <w:p>
            <w:pPr>
              <w:jc w:val="center"/>
            </w:pPr>
            <w:r>
              <w:rPr>
                <w:rFonts w:ascii="Arial" w:hAnsi="Arial"/>
                <w:sz w:val="18"/>
              </w:rPr>
              <w:t xml:space="preserve">1.4840</w:t>
            </w:r>
          </w:p>
        </w:tc>
        <w:tc>
          <w:tcPr>
            <w:tcW w:type="dxa" w:w="1440"/>
          </w:tcPr>
          <w:p>
            <w:pPr>
              <w:jc w:val="center"/>
            </w:pPr>
            <w:r>
              <w:rPr>
                <w:rFonts w:ascii="Arial" w:hAnsi="Arial"/>
                <w:sz w:val="18"/>
              </w:rPr>
              <w:t xml:space="preserve">714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Logistics 144 Partnership Firm</w:t>
            </w:r>
          </w:p>
        </w:tc>
        <w:tc>
          <w:tcPr>
            <w:tcW w:type="dxa" w:w="1440"/>
          </w:tcPr>
          <w:p>
            <w:pPr>
              <w:jc w:val="center"/>
            </w:pPr>
            <w:r>
              <w:rPr>
                <w:rFonts w:ascii="Arial" w:hAnsi="Arial"/>
                <w:sz w:val="18"/>
              </w:rPr>
              <w:t xml:space="preserve">₹25.90 Lakh</w:t>
            </w:r>
          </w:p>
        </w:tc>
        <w:tc>
          <w:tcPr>
            <w:tcW w:type="dxa" w:w="1440"/>
          </w:tcPr>
          <w:p>
            <w:pPr>
              <w:jc w:val="center"/>
            </w:pPr>
            <w:r>
              <w:rPr>
                <w:rFonts w:ascii="Arial" w:hAnsi="Arial"/>
                <w:sz w:val="18"/>
              </w:rPr>
              <w:t xml:space="preserve">1.4443</w:t>
            </w:r>
          </w:p>
        </w:tc>
        <w:tc>
          <w:tcPr>
            <w:tcW w:type="dxa" w:w="1440"/>
          </w:tcPr>
          <w:p>
            <w:pPr>
              <w:jc w:val="center"/>
            </w:pPr>
            <w:r>
              <w:rPr>
                <w:rFonts w:ascii="Arial" w:hAnsi="Arial"/>
                <w:sz w:val="18"/>
              </w:rPr>
              <w:t xml:space="preserve">1.3339</w:t>
            </w:r>
          </w:p>
        </w:tc>
        <w:tc>
          <w:tcPr>
            <w:tcW w:type="dxa" w:w="1440"/>
          </w:tcPr>
          <w:p>
            <w:pPr>
              <w:jc w:val="center"/>
            </w:pPr>
            <w:r>
              <w:rPr>
                <w:rFonts w:ascii="Arial" w:hAnsi="Arial"/>
                <w:sz w:val="18"/>
              </w:rPr>
              <w:t xml:space="preserve">2.1025</w:t>
            </w:r>
          </w:p>
        </w:tc>
        <w:tc>
          <w:tcPr>
            <w:tcW w:type="dxa" w:w="1440"/>
          </w:tcPr>
          <w:p>
            <w:pPr>
              <w:jc w:val="center"/>
            </w:pPr>
            <w:r>
              <w:rPr>
                <w:rFonts w:ascii="Arial" w:hAnsi="Arial"/>
                <w:sz w:val="18"/>
              </w:rPr>
              <w:t xml:space="preserve">698</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Apex Retail 835 Partnership Firm</w:t>
            </w:r>
          </w:p>
        </w:tc>
        <w:tc>
          <w:tcPr>
            <w:tcW w:type="dxa" w:w="1440"/>
          </w:tcPr>
          <w:p>
            <w:pPr>
              <w:jc w:val="center"/>
            </w:pPr>
            <w:r>
              <w:rPr>
                <w:rFonts w:ascii="Arial" w:hAnsi="Arial"/>
                <w:sz w:val="18"/>
              </w:rPr>
              <w:t xml:space="preserve">₹25.91 Lakh</w:t>
            </w:r>
          </w:p>
        </w:tc>
        <w:tc>
          <w:tcPr>
            <w:tcW w:type="dxa" w:w="1440"/>
          </w:tcPr>
          <w:p>
            <w:pPr>
              <w:jc w:val="center"/>
            </w:pPr>
            <w:r>
              <w:rPr>
                <w:rFonts w:ascii="Arial" w:hAnsi="Arial"/>
                <w:sz w:val="18"/>
              </w:rPr>
              <w:t xml:space="preserve">1.2611</w:t>
            </w:r>
          </w:p>
        </w:tc>
        <w:tc>
          <w:tcPr>
            <w:tcW w:type="dxa" w:w="1440"/>
          </w:tcPr>
          <w:p>
            <w:pPr>
              <w:jc w:val="center"/>
            </w:pPr>
            <w:r>
              <w:rPr>
                <w:rFonts w:ascii="Arial" w:hAnsi="Arial"/>
                <w:sz w:val="18"/>
              </w:rPr>
              <w:t xml:space="preserve">1.0484</w:t>
            </w:r>
          </w:p>
        </w:tc>
        <w:tc>
          <w:tcPr>
            <w:tcW w:type="dxa" w:w="1440"/>
          </w:tcPr>
          <w:p>
            <w:pPr>
              <w:jc w:val="center"/>
            </w:pPr>
            <w:r>
              <w:rPr>
                <w:rFonts w:ascii="Arial" w:hAnsi="Arial"/>
                <w:sz w:val="18"/>
              </w:rPr>
              <w:t xml:space="preserve">2.0161</w:t>
            </w:r>
          </w:p>
        </w:tc>
        <w:tc>
          <w:tcPr>
            <w:tcW w:type="dxa" w:w="1440"/>
          </w:tcPr>
          <w:p>
            <w:pPr>
              <w:jc w:val="center"/>
            </w:pPr>
            <w:r>
              <w:rPr>
                <w:rFonts w:ascii="Arial" w:hAnsi="Arial"/>
                <w:sz w:val="18"/>
              </w:rPr>
              <w:t xml:space="preserve">764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Energy Private Limited</w:t>
            </w:r>
          </w:p>
        </w:tc>
        <w:tc>
          <w:tcPr>
            <w:tcW w:type="dxa" w:w="1440"/>
          </w:tcPr>
          <w:p>
            <w:pPr>
              <w:jc w:val="center"/>
            </w:pPr>
            <w:r>
              <w:rPr>
                <w:rFonts w:ascii="Arial" w:hAnsi="Arial"/>
                <w:sz w:val="18"/>
              </w:rPr>
              <w:t xml:space="preserve">₹30.19 Lakh</w:t>
            </w:r>
          </w:p>
        </w:tc>
        <w:tc>
          <w:tcPr>
            <w:tcW w:type="dxa" w:w="1440"/>
          </w:tcPr>
          <w:p>
            <w:pPr>
              <w:jc w:val="center"/>
            </w:pPr>
            <w:r>
              <w:rPr>
                <w:rFonts w:ascii="Arial" w:hAnsi="Arial"/>
                <w:sz w:val="18"/>
              </w:rPr>
              <w:t xml:space="preserve">0.9996</w:t>
            </w:r>
          </w:p>
        </w:tc>
        <w:tc>
          <w:tcPr>
            <w:tcW w:type="dxa" w:w="1440"/>
          </w:tcPr>
          <w:p>
            <w:pPr>
              <w:jc w:val="center"/>
            </w:pPr>
            <w:r>
              <w:rPr>
                <w:rFonts w:ascii="Arial" w:hAnsi="Arial"/>
                <w:sz w:val="18"/>
              </w:rPr>
              <w:t xml:space="preserve">0.9775</w:t>
            </w:r>
          </w:p>
        </w:tc>
        <w:tc>
          <w:tcPr>
            <w:tcW w:type="dxa" w:w="1440"/>
          </w:tcPr>
          <w:p>
            <w:pPr>
              <w:jc w:val="center"/>
            </w:pPr>
            <w:r>
              <w:rPr>
                <w:rFonts w:ascii="Arial" w:hAnsi="Arial"/>
                <w:sz w:val="18"/>
              </w:rPr>
              <w:t xml:space="preserve">2.8263</w:t>
            </w:r>
          </w:p>
        </w:tc>
        <w:tc>
          <w:tcPr>
            <w:tcW w:type="dxa" w:w="1440"/>
          </w:tcPr>
          <w:p>
            <w:pPr>
              <w:jc w:val="center"/>
            </w:pPr>
            <w:r>
              <w:rPr>
                <w:rFonts w:ascii="Arial" w:hAnsi="Arial"/>
                <w:sz w:val="18"/>
              </w:rPr>
              <w:t xml:space="preserve">671</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Aditya Chemicals 306 Partnership Firm</w:t>
            </w:r>
          </w:p>
        </w:tc>
        <w:tc>
          <w:tcPr>
            <w:tcW w:type="dxa" w:w="1440"/>
          </w:tcPr>
          <w:p>
            <w:pPr>
              <w:jc w:val="center"/>
            </w:pPr>
            <w:r>
              <w:rPr>
                <w:rFonts w:ascii="Arial" w:hAnsi="Arial"/>
                <w:sz w:val="18"/>
              </w:rPr>
              <w:t xml:space="preserve">₹30.61 Lakh</w:t>
            </w:r>
          </w:p>
        </w:tc>
        <w:tc>
          <w:tcPr>
            <w:tcW w:type="dxa" w:w="1440"/>
          </w:tcPr>
          <w:p>
            <w:pPr>
              <w:jc w:val="center"/>
            </w:pPr>
            <w:r>
              <w:rPr>
                <w:rFonts w:ascii="Arial" w:hAnsi="Arial"/>
                <w:sz w:val="18"/>
              </w:rPr>
              <w:t xml:space="preserve">1.1897</w:t>
            </w:r>
          </w:p>
        </w:tc>
        <w:tc>
          <w:tcPr>
            <w:tcW w:type="dxa" w:w="1440"/>
          </w:tcPr>
          <w:p>
            <w:pPr>
              <w:jc w:val="center"/>
            </w:pPr>
            <w:r>
              <w:rPr>
                <w:rFonts w:ascii="Arial" w:hAnsi="Arial"/>
                <w:sz w:val="18"/>
              </w:rPr>
              <w:t xml:space="preserve">1.0988</w:t>
            </w:r>
          </w:p>
        </w:tc>
        <w:tc>
          <w:tcPr>
            <w:tcW w:type="dxa" w:w="1440"/>
          </w:tcPr>
          <w:p>
            <w:pPr>
              <w:jc w:val="center"/>
            </w:pPr>
            <w:r>
              <w:rPr>
                <w:rFonts w:ascii="Arial" w:hAnsi="Arial"/>
                <w:sz w:val="18"/>
              </w:rPr>
              <w:t xml:space="preserve">1.6466</w:t>
            </w:r>
          </w:p>
        </w:tc>
        <w:tc>
          <w:tcPr>
            <w:tcW w:type="dxa" w:w="1440"/>
          </w:tcPr>
          <w:p>
            <w:pPr>
              <w:jc w:val="center"/>
            </w:pPr>
            <w:r>
              <w:rPr>
                <w:rFonts w:ascii="Arial" w:hAnsi="Arial"/>
                <w:sz w:val="18"/>
              </w:rPr>
              <w:t xml:space="preserve">815</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1.2915</w:t>
            </w:r>
          </w:p>
        </w:tc>
        <w:tc>
          <w:tcPr>
            <w:tcW w:type="dxa" w:w="1440"/>
            <w:shd w:fill="F3F4F6"/>
          </w:tcPr>
          <w:p>
            <w:pPr>
              <w:jc w:val="center"/>
            </w:pPr>
            <w:r>
              <w:rPr>
                <w:rFonts w:ascii="Arial" w:hAnsi="Arial"/>
                <w:b/>
                <w:sz w:val="18"/>
              </w:rPr>
              <w:t xml:space="preserve">1.4304</w:t>
            </w:r>
          </w:p>
        </w:tc>
        <w:tc>
          <w:tcPr>
            <w:tcW w:type="dxa" w:w="1440"/>
            <w:shd w:fill="F3F4F6"/>
          </w:tcPr>
          <w:p>
            <w:pPr>
              <w:jc w:val="center"/>
            </w:pPr>
            <w:r>
              <w:rPr>
                <w:rFonts w:ascii="Arial" w:hAnsi="Arial"/>
                <w:b/>
                <w:sz w:val="18"/>
              </w:rPr>
              <w:t xml:space="preserve">1.9064</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fair and unbiased, with no evidence of bias found in the testing process. The model has been tested for bias and has passed the test, indicating that the decision is based on objective criteria. The risk score and verdict are based on a comprehensive analysis of the company's financial and non-financial data.</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Internal 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indicate that the company's management is experienced and has a good understanding of the industry and market trends. The discussion also highlighted the company's strengths and weaknesses, including its satisfactory GST status and moderate leverage. The management is confident about the company's future prospects and is committed to improving its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