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Ambika Builders 616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₹28.00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12 July 2026, 10:09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Risk Band: HIGH. Decision: MANDATORY REVIEW. The overall Risk Band for Ambika Builders 616 LLP is HIGH, indicating a need for careful consideration. The company's financial health is a mixed bag, with strong revenue growth and a high CIBIL score, but also weaknesses in its interest coverage ratio and ebitda margin. Based on the risk assessment, a MANDATORY REVIEW is recommended. The bank reconciliation verdict is OK, but the risk band suggests that caution is warranted.</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Ambika Builders 616 LLP operates in the Food  Beverages industry, with a revenue of ₹4.09 Cr and an ebitda of ₹33.98 Lakh. The company has a strong net worth of ₹1.64 Cr and a total debt of ₹1.98 Cr. Its market position is not explicitly stated, but its financial performance suggests a stable presence in the industry.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debt service coverage ratio (DSCR) evaluation, indicating a robust ability to meet debt obligations</w:t>
              <w:br/>
              <w:t xml:space="preserve">• STRONG leverage evaluation, suggesting a healthy balance between debt and equity</w:t>
              <w:br/>
              <w:t xml:space="preserve">• STRONG revenue growth evaluation, indicating a growing and expanding business</w:t>
              <w:br/>
              <w:t xml:space="preserve">• High CIBIL score of 798, reflecting a good credit history</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WEAK interest coverage ratio (ICR) evaluation, indicating a potential struggle to meet interest payments</w:t>
              <w:br/>
              <w:t xml:space="preserve">• WEAK ebitda margin evaluation, suggesting a need to improve profitability</w:t>
              <w:br/>
              <w:t xml:space="preserve">• Stress test verdict of CRITICAL, indicating a high risk of debt service capacity collapse under stress</w:t>
              <w:br/>
              <w:t xml:space="preserve">• Stress test failed due to debt service capacity collapsing under simulated stress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Ambika Builders 616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GEYFA7339Q</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09GEYFA7339Q2Z3</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Ambika Builders 616 LLP</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2017-01-08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finance@ambikabuilders616llp.in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+91-7731142434</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XXXX-XXXX-1031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Uttar Pradesh,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0.99</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98030453, 27304255</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2026-07-12T10:07:54.992957+00:00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₹4.09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₹33.98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₹98,148.26</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₹1.98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₹1.64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₹24.49 Lakh</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₹23.73 Lakh</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₹3.75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₹98,148.26</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798</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76.5%</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103</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1.4823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1.3876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1.2085</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8.3%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19.5%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103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1.2%</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₹4.09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₹4.09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₹98,148.26</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₹19.40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[Computed Sentiment: POSITIVE] The company has a  news sentiment, with one news article indicating a favorable outlook. The news summary suggests that the company is viewed positively by the market, which could be a strength in its credit profile. The overall sentiment is upbeat, which could contribute to a more favorable credit assessment.</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litigations, indicating a low risk of legal disputes. This suggests that the company is not embroiled in any major legal issues that could impact its credit profile. The lack of litigations is a positive factor in the credit assessment.</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Food  Beverages industry is subject to various challenges, including changing consumer preferences, regulatory requirements, and supply chain disruptions. These headwinds could impact the company's financial performance and credit profile. The industry's challenges suggest a need for careful monitoring and risk assessment.</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0.3133</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₹22.74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975</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0.4064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0.3486</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0.3072</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0.2290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0.1961</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interest coverage ratio by increasing profitability or reducing debt</w:t>
              <w:br/>
              <w:t xml:space="preserve">• Enhance ebitda margin by optimizing operations and reducing costs</w:t>
              <w:br/>
              <w:t xml:space="preserve">• Develop a stress test mitigation plan to address potential debt service capacity collapse</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Tejas Chemicals 164 Partnership Firm</w:t>
            </w:r>
          </w:p>
        </w:tc>
        <w:tc>
          <w:tcPr>
            <w:tcW w:type="dxa" w:w="1440"/>
          </w:tcPr>
          <w:p>
            <w:pPr>
              <w:jc w:val="center"/>
            </w:pPr>
            <w:r>
              <w:rPr>
                <w:rFonts w:ascii="Arial" w:hAnsi="Arial"/>
                <w:sz w:val="18"/>
              </w:rPr>
              <w:t xml:space="preserve">₹4.11 Cr</w:t>
            </w:r>
          </w:p>
        </w:tc>
        <w:tc>
          <w:tcPr>
            <w:tcW w:type="dxa" w:w="1440"/>
          </w:tcPr>
          <w:p>
            <w:pPr>
              <w:jc w:val="center"/>
            </w:pPr>
            <w:r>
              <w:rPr>
                <w:rFonts w:ascii="Arial" w:hAnsi="Arial"/>
                <w:sz w:val="18"/>
              </w:rPr>
              <w:t xml:space="preserve">1.7496</w:t>
            </w:r>
          </w:p>
        </w:tc>
        <w:tc>
          <w:tcPr>
            <w:tcW w:type="dxa" w:w="1440"/>
          </w:tcPr>
          <w:p>
            <w:pPr>
              <w:jc w:val="center"/>
            </w:pPr>
            <w:r>
              <w:rPr>
                <w:rFonts w:ascii="Arial" w:hAnsi="Arial"/>
                <w:sz w:val="18"/>
              </w:rPr>
              <w:t xml:space="preserve">1.6541</w:t>
            </w:r>
          </w:p>
        </w:tc>
        <w:tc>
          <w:tcPr>
            <w:tcW w:type="dxa" w:w="1440"/>
          </w:tcPr>
          <w:p>
            <w:pPr>
              <w:jc w:val="center"/>
            </w:pPr>
            <w:r>
              <w:rPr>
                <w:rFonts w:ascii="Arial" w:hAnsi="Arial"/>
                <w:sz w:val="18"/>
              </w:rPr>
              <w:t xml:space="preserve">1.0230</w:t>
            </w:r>
          </w:p>
        </w:tc>
        <w:tc>
          <w:tcPr>
            <w:tcW w:type="dxa" w:w="1440"/>
          </w:tcPr>
          <w:p>
            <w:pPr>
              <w:jc w:val="center"/>
            </w:pPr>
            <w:r>
              <w:rPr>
                <w:rFonts w:ascii="Arial" w:hAnsi="Arial"/>
                <w:sz w:val="18"/>
              </w:rPr>
              <w:t xml:space="preserve">790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Tejas Infrastructure 709 Partnership Firm</w:t>
            </w:r>
          </w:p>
        </w:tc>
        <w:tc>
          <w:tcPr>
            <w:tcW w:type="dxa" w:w="1440"/>
          </w:tcPr>
          <w:p>
            <w:pPr>
              <w:jc w:val="center"/>
            </w:pPr>
            <w:r>
              <w:rPr>
                <w:rFonts w:ascii="Arial" w:hAnsi="Arial"/>
                <w:sz w:val="18"/>
              </w:rPr>
              <w:t xml:space="preserve">₹4.06 Cr</w:t>
            </w:r>
          </w:p>
        </w:tc>
        <w:tc>
          <w:tcPr>
            <w:tcW w:type="dxa" w:w="1440"/>
          </w:tcPr>
          <w:p>
            <w:pPr>
              <w:jc w:val="center"/>
            </w:pPr>
            <w:r>
              <w:rPr>
                <w:rFonts w:ascii="Arial" w:hAnsi="Arial"/>
                <w:sz w:val="18"/>
              </w:rPr>
              <w:t xml:space="preserve">1.7540</w:t>
            </w:r>
          </w:p>
        </w:tc>
        <w:tc>
          <w:tcPr>
            <w:tcW w:type="dxa" w:w="1440"/>
          </w:tcPr>
          <w:p>
            <w:pPr>
              <w:jc w:val="center"/>
            </w:pPr>
            <w:r>
              <w:rPr>
                <w:rFonts w:ascii="Arial" w:hAnsi="Arial"/>
                <w:sz w:val="18"/>
              </w:rPr>
              <w:t xml:space="preserve">1.6764</w:t>
            </w:r>
          </w:p>
        </w:tc>
        <w:tc>
          <w:tcPr>
            <w:tcW w:type="dxa" w:w="1440"/>
          </w:tcPr>
          <w:p>
            <w:pPr>
              <w:jc w:val="center"/>
            </w:pPr>
            <w:r>
              <w:rPr>
                <w:rFonts w:ascii="Arial" w:hAnsi="Arial"/>
                <w:sz w:val="18"/>
              </w:rPr>
              <w:t xml:space="preserve">0.9791</w:t>
            </w:r>
          </w:p>
        </w:tc>
        <w:tc>
          <w:tcPr>
            <w:tcW w:type="dxa" w:w="1440"/>
          </w:tcPr>
          <w:p>
            <w:pPr>
              <w:jc w:val="center"/>
            </w:pPr>
            <w:r>
              <w:rPr>
                <w:rFonts w:ascii="Arial" w:hAnsi="Arial"/>
                <w:sz w:val="18"/>
              </w:rPr>
              <w:t xml:space="preserve">688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Tejas Infrastructure 103 Partnership Firm</w:t>
            </w:r>
          </w:p>
        </w:tc>
        <w:tc>
          <w:tcPr>
            <w:tcW w:type="dxa" w:w="1440"/>
          </w:tcPr>
          <w:p>
            <w:pPr>
              <w:jc w:val="center"/>
            </w:pPr>
            <w:r>
              <w:rPr>
                <w:rFonts w:ascii="Arial" w:hAnsi="Arial"/>
                <w:sz w:val="18"/>
              </w:rPr>
              <w:t xml:space="preserve">₹4.06 Cr</w:t>
            </w:r>
          </w:p>
        </w:tc>
        <w:tc>
          <w:tcPr>
            <w:tcW w:type="dxa" w:w="1440"/>
          </w:tcPr>
          <w:p>
            <w:pPr>
              <w:jc w:val="center"/>
            </w:pPr>
            <w:r>
              <w:rPr>
                <w:rFonts w:ascii="Arial" w:hAnsi="Arial"/>
                <w:sz w:val="18"/>
              </w:rPr>
              <w:t xml:space="preserve">1.5545</w:t>
            </w:r>
          </w:p>
        </w:tc>
        <w:tc>
          <w:tcPr>
            <w:tcW w:type="dxa" w:w="1440"/>
          </w:tcPr>
          <w:p>
            <w:pPr>
              <w:jc w:val="center"/>
            </w:pPr>
            <w:r>
              <w:rPr>
                <w:rFonts w:ascii="Arial" w:hAnsi="Arial"/>
                <w:sz w:val="18"/>
              </w:rPr>
              <w:t xml:space="preserve">1.4922</w:t>
            </w:r>
          </w:p>
        </w:tc>
        <w:tc>
          <w:tcPr>
            <w:tcW w:type="dxa" w:w="1440"/>
          </w:tcPr>
          <w:p>
            <w:pPr>
              <w:jc w:val="center"/>
            </w:pPr>
            <w:r>
              <w:rPr>
                <w:rFonts w:ascii="Arial" w:hAnsi="Arial"/>
                <w:sz w:val="18"/>
              </w:rPr>
              <w:t xml:space="preserve">1.4244</w:t>
            </w:r>
          </w:p>
        </w:tc>
        <w:tc>
          <w:tcPr>
            <w:tcW w:type="dxa" w:w="1440"/>
          </w:tcPr>
          <w:p>
            <w:pPr>
              <w:jc w:val="center"/>
            </w:pPr>
            <w:r>
              <w:rPr>
                <w:rFonts w:ascii="Arial" w:hAnsi="Arial"/>
                <w:sz w:val="18"/>
              </w:rPr>
              <w:t xml:space="preserve">701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Tejas Logistics 534 Partnership Firm</w:t>
            </w:r>
          </w:p>
        </w:tc>
        <w:tc>
          <w:tcPr>
            <w:tcW w:type="dxa" w:w="1440"/>
          </w:tcPr>
          <w:p>
            <w:pPr>
              <w:jc w:val="center"/>
            </w:pPr>
            <w:r>
              <w:rPr>
                <w:rFonts w:ascii="Arial" w:hAnsi="Arial"/>
                <w:sz w:val="18"/>
              </w:rPr>
              <w:t xml:space="preserve">₹4.05 Cr</w:t>
            </w:r>
          </w:p>
        </w:tc>
        <w:tc>
          <w:tcPr>
            <w:tcW w:type="dxa" w:w="1440"/>
          </w:tcPr>
          <w:p>
            <w:pPr>
              <w:jc w:val="center"/>
            </w:pPr>
            <w:r>
              <w:rPr>
                <w:rFonts w:ascii="Arial" w:hAnsi="Arial"/>
                <w:sz w:val="18"/>
              </w:rPr>
              <w:t xml:space="preserve">1.4823</w:t>
            </w:r>
          </w:p>
        </w:tc>
        <w:tc>
          <w:tcPr>
            <w:tcW w:type="dxa" w:w="1440"/>
          </w:tcPr>
          <w:p>
            <w:pPr>
              <w:jc w:val="center"/>
            </w:pPr>
            <w:r>
              <w:rPr>
                <w:rFonts w:ascii="Arial" w:hAnsi="Arial"/>
                <w:sz w:val="18"/>
              </w:rPr>
              <w:t xml:space="preserve">0.9160</w:t>
            </w:r>
          </w:p>
        </w:tc>
        <w:tc>
          <w:tcPr>
            <w:tcW w:type="dxa" w:w="1440"/>
          </w:tcPr>
          <w:p>
            <w:pPr>
              <w:jc w:val="center"/>
            </w:pPr>
            <w:r>
              <w:rPr>
                <w:rFonts w:ascii="Arial" w:hAnsi="Arial"/>
                <w:sz w:val="18"/>
              </w:rPr>
              <w:t xml:space="preserve">1.5430</w:t>
            </w:r>
          </w:p>
        </w:tc>
        <w:tc>
          <w:tcPr>
            <w:tcW w:type="dxa" w:w="1440"/>
          </w:tcPr>
          <w:p>
            <w:pPr>
              <w:jc w:val="center"/>
            </w:pPr>
            <w:r>
              <w:rPr>
                <w:rFonts w:ascii="Arial" w:hAnsi="Arial"/>
                <w:sz w:val="18"/>
              </w:rPr>
              <w:t xml:space="preserve">793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Tejas Energy 811 Partnership Firm</w:t>
            </w:r>
          </w:p>
        </w:tc>
        <w:tc>
          <w:tcPr>
            <w:tcW w:type="dxa" w:w="1440"/>
          </w:tcPr>
          <w:p>
            <w:pPr>
              <w:jc w:val="center"/>
            </w:pPr>
            <w:r>
              <w:rPr>
                <w:rFonts w:ascii="Arial" w:hAnsi="Arial"/>
                <w:sz w:val="18"/>
              </w:rPr>
              <w:t xml:space="preserve">₹4.05 Cr</w:t>
            </w:r>
          </w:p>
        </w:tc>
        <w:tc>
          <w:tcPr>
            <w:tcW w:type="dxa" w:w="1440"/>
          </w:tcPr>
          <w:p>
            <w:pPr>
              <w:jc w:val="center"/>
            </w:pPr>
            <w:r>
              <w:rPr>
                <w:rFonts w:ascii="Arial" w:hAnsi="Arial"/>
                <w:sz w:val="18"/>
              </w:rPr>
              <w:t xml:space="preserve">1.8232</w:t>
            </w:r>
          </w:p>
        </w:tc>
        <w:tc>
          <w:tcPr>
            <w:tcW w:type="dxa" w:w="1440"/>
          </w:tcPr>
          <w:p>
            <w:pPr>
              <w:jc w:val="center"/>
            </w:pPr>
            <w:r>
              <w:rPr>
                <w:rFonts w:ascii="Arial" w:hAnsi="Arial"/>
                <w:sz w:val="18"/>
              </w:rPr>
              <w:t xml:space="preserve">1.2211</w:t>
            </w:r>
          </w:p>
        </w:tc>
        <w:tc>
          <w:tcPr>
            <w:tcW w:type="dxa" w:w="1440"/>
          </w:tcPr>
          <w:p>
            <w:pPr>
              <w:jc w:val="center"/>
            </w:pPr>
            <w:r>
              <w:rPr>
                <w:rFonts w:ascii="Arial" w:hAnsi="Arial"/>
                <w:sz w:val="18"/>
              </w:rPr>
              <w:t xml:space="preserve">1.0226</w:t>
            </w:r>
          </w:p>
        </w:tc>
        <w:tc>
          <w:tcPr>
            <w:tcW w:type="dxa" w:w="1440"/>
          </w:tcPr>
          <w:p>
            <w:pPr>
              <w:jc w:val="center"/>
            </w:pPr>
            <w:r>
              <w:rPr>
                <w:rFonts w:ascii="Arial" w:hAnsi="Arial"/>
                <w:sz w:val="18"/>
              </w:rPr>
              <w:t xml:space="preserve">780</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1.4797</w:t>
            </w:r>
          </w:p>
        </w:tc>
        <w:tc>
          <w:tcPr>
            <w:tcW w:type="dxa" w:w="1440"/>
            <w:shd w:fill="F3F4F6"/>
          </w:tcPr>
          <w:p>
            <w:pPr>
              <w:jc w:val="center"/>
            </w:pPr>
            <w:r>
              <w:rPr>
                <w:rFonts w:ascii="Arial" w:hAnsi="Arial"/>
                <w:b/>
                <w:sz w:val="18"/>
              </w:rPr>
              <w:t xml:space="preserve">1.0639</w:t>
            </w:r>
          </w:p>
        </w:tc>
        <w:tc>
          <w:tcPr>
            <w:tcW w:type="dxa" w:w="1440"/>
            <w:shd w:fill="F3F4F6"/>
          </w:tcPr>
          <w:p>
            <w:pPr>
              <w:jc w:val="center"/>
            </w:pPr>
            <w:r>
              <w:rPr>
                <w:rFonts w:ascii="Arial" w:hAnsi="Arial"/>
                <w:b/>
                <w:sz w:val="18"/>
              </w:rPr>
              <w:t xml:space="preserve">1.3968</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-2.0103</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 (Assumes 100% Floating Debt)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0.6397</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-1.8250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-2.0103</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been found to be fair and unbiased, with no flips detected. This suggests that the credit assessment is based on objective criteria and is not influenced by subjective factors. The lack of bias in the decision-making process contributes to the credibility of the credit assessment.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