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Matrix Infrastructure 816 Private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₹10.00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05 July 2026, 15:26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Matrix Infrastructure 816 Private Limited has a low risk profile with a risk score of 0.0642, and our verdict is to approve the loan. The company's financial health is satisfactory, with a debt service coverage ratio of 1.5533 and an interest coverage ratio of 2.5127. We recommend approving the loan with a close monitoring of the company's financial performance. The company's leverage ratio is 1.2944, which is within acceptable limits.</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Matrix Infrastructure 816 Private Limited operates in the chemical processing industry, with an unknown market position due to lack of data. The company's GST status is OK, with a discrepancy percentage of 1.3. The company has a single news article associated with it, but the sentiment is not available.</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0.0642</w:t>
              <w:br/>
              <w:t xml:space="preserve">• Satisfactory debt service coverage ratio of 1.5533</w:t>
              <w:br/>
              <w:t xml:space="preserve">• Interest coverage ratio of 2.5127</w:t>
              <w:br/>
              <w:t xml:space="preserve">• No litigations reported</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Lack of financial data, including revenue and ebitda</w:t>
              <w:br/>
              <w:t xml:space="preserve">• Unknown market position in the chemical processing industry</w:t>
              <w:br/>
              <w:t xml:space="preserve">• No credit score available from CIBIL</w:t>
              <w:br/>
              <w:t xml:space="preserve">• Leverage ratio of 1.2944, which may be a concern in the future</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Matrix Infrastructure 816 Private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MJSCM6280R</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19MJSCM6280R7Z8</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L20111WB2022PTC992124</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1.5533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2.5127</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1.2944</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12.4%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16.0%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1.3%</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3.0%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₹3.33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a single news article associated with Matrix Infrastructure 816 Private Limited, but the sentiment is not available. The company's news presence is limited, and more information is required to assess the company's reputation and market position. The news article may be related to the company's operations or industry trends, but further analysis is required.</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Matrix Infrastructure 816 Private Limited has no reported litigations, which is a positive indicator of the company's legal and regulatory compliance. The company's lack of litigations suggests that it has a good track record of managing its legal and regulatory risks. However, the absence of data on the company's legal history may also be a concern.</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chemical processing industry is subject to various challenges, including environmental regulations, fluctuating raw material prices, and intense competition. The industry is also subject to fluctuations in demand, which can impact the company's revenue and profitability. However, the company's low risk score and satisfactory financial ratios suggest that it is well-positioned to manage these challenges.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0.0642</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₹9.61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876</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0.0929</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0.0924</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0.0602</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0.0024</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0.0024</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detailed financial statements, including revenue and ebitda</w:t>
              <w:br/>
              <w:t xml:space="preserve">• Obtain a credit score from CIBIL</w:t>
              <w:br/>
              <w:t xml:space="preserve">• Improve GST compliance and reduce discrepancy percentage</w:t>
              <w:br/>
              <w:t xml:space="preserve">• Monitor and manage leverage ratio to ensure it remains within acceptable limits</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Sterling Enterprises 410 Partnership Firm</w:t>
            </w:r>
          </w:p>
        </w:tc>
        <w:tc>
          <w:tcPr>
            <w:tcW w:type="dxa" w:w="1440"/>
          </w:tcPr>
          <w:p>
            <w:pPr>
              <w:jc w:val="center"/>
            </w:pPr>
            <w:r>
              <w:rPr>
                <w:rFonts w:ascii="Arial" w:hAnsi="Arial"/>
                <w:sz w:val="18"/>
              </w:rPr>
              <w:t xml:space="preserve">₹20.75 Lakh</w:t>
            </w:r>
          </w:p>
        </w:tc>
        <w:tc>
          <w:tcPr>
            <w:tcW w:type="dxa" w:w="1440"/>
          </w:tcPr>
          <w:p>
            <w:pPr>
              <w:jc w:val="center"/>
            </w:pPr>
            <w:r>
              <w:rPr>
                <w:rFonts w:ascii="Arial" w:hAnsi="Arial"/>
                <w:sz w:val="18"/>
              </w:rPr>
              <w:t xml:space="preserve">1.0328</w:t>
            </w:r>
          </w:p>
        </w:tc>
        <w:tc>
          <w:tcPr>
            <w:tcW w:type="dxa" w:w="1440"/>
          </w:tcPr>
          <w:p>
            <w:pPr>
              <w:jc w:val="center"/>
            </w:pPr>
            <w:r>
              <w:rPr>
                <w:rFonts w:ascii="Arial" w:hAnsi="Arial"/>
                <w:sz w:val="18"/>
              </w:rPr>
              <w:t xml:space="preserve">1.2872</w:t>
            </w:r>
          </w:p>
        </w:tc>
        <w:tc>
          <w:tcPr>
            <w:tcW w:type="dxa" w:w="1440"/>
          </w:tcPr>
          <w:p>
            <w:pPr>
              <w:jc w:val="center"/>
            </w:pPr>
            <w:r>
              <w:rPr>
                <w:rFonts w:ascii="Arial" w:hAnsi="Arial"/>
                <w:sz w:val="18"/>
              </w:rPr>
              <w:t xml:space="preserve">1.7423</w:t>
            </w:r>
          </w:p>
        </w:tc>
        <w:tc>
          <w:tcPr>
            <w:tcW w:type="dxa" w:w="1440"/>
          </w:tcPr>
          <w:p>
            <w:pPr>
              <w:jc w:val="center"/>
            </w:pPr>
            <w:r>
              <w:rPr>
                <w:rFonts w:ascii="Arial" w:hAnsi="Arial"/>
                <w:sz w:val="18"/>
              </w:rPr>
              <w:t xml:space="preserve">770</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Arogya Renewables 551 LLP</w:t>
            </w:r>
          </w:p>
        </w:tc>
        <w:tc>
          <w:tcPr>
            <w:tcW w:type="dxa" w:w="1440"/>
          </w:tcPr>
          <w:p>
            <w:pPr>
              <w:jc w:val="center"/>
            </w:pPr>
            <w:r>
              <w:rPr>
                <w:rFonts w:ascii="Arial" w:hAnsi="Arial"/>
                <w:sz w:val="18"/>
              </w:rPr>
              <w:t xml:space="preserve">₹20.93 Lakh</w:t>
            </w:r>
          </w:p>
        </w:tc>
        <w:tc>
          <w:tcPr>
            <w:tcW w:type="dxa" w:w="1440"/>
          </w:tcPr>
          <w:p>
            <w:pPr>
              <w:jc w:val="center"/>
            </w:pPr>
            <w:r>
              <w:rPr>
                <w:rFonts w:ascii="Arial" w:hAnsi="Arial"/>
                <w:sz w:val="18"/>
              </w:rPr>
              <w:t xml:space="preserve">0.9614</w:t>
            </w:r>
          </w:p>
        </w:tc>
        <w:tc>
          <w:tcPr>
            <w:tcW w:type="dxa" w:w="1440"/>
          </w:tcPr>
          <w:p>
            <w:pPr>
              <w:jc w:val="center"/>
            </w:pPr>
            <w:r>
              <w:rPr>
                <w:rFonts w:ascii="Arial" w:hAnsi="Arial"/>
                <w:sz w:val="18"/>
              </w:rPr>
              <w:t xml:space="preserve">0.1043</w:t>
            </w:r>
          </w:p>
        </w:tc>
        <w:tc>
          <w:tcPr>
            <w:tcW w:type="dxa" w:w="1440"/>
          </w:tcPr>
          <w:p>
            <w:pPr>
              <w:jc w:val="center"/>
            </w:pPr>
            <w:r>
              <w:rPr>
                <w:rFonts w:ascii="Arial" w:hAnsi="Arial"/>
                <w:sz w:val="18"/>
              </w:rPr>
              <w:t xml:space="preserve">2.4559</w:t>
            </w:r>
          </w:p>
        </w:tc>
        <w:tc>
          <w:tcPr>
            <w:tcW w:type="dxa" w:w="1440"/>
          </w:tcPr>
          <w:p>
            <w:pPr>
              <w:jc w:val="center"/>
            </w:pPr>
            <w:r>
              <w:rPr>
                <w:rFonts w:ascii="Arial" w:hAnsi="Arial"/>
                <w:sz w:val="18"/>
              </w:rPr>
              <w:t xml:space="preserve">630</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Infinity Textiles 409 Private Limited</w:t>
            </w:r>
          </w:p>
        </w:tc>
        <w:tc>
          <w:tcPr>
            <w:tcW w:type="dxa" w:w="1440"/>
          </w:tcPr>
          <w:p>
            <w:pPr>
              <w:jc w:val="center"/>
            </w:pPr>
            <w:r>
              <w:rPr>
                <w:rFonts w:ascii="Arial" w:hAnsi="Arial"/>
                <w:sz w:val="18"/>
              </w:rPr>
              <w:t xml:space="preserve">₹22.59 Lakh</w:t>
            </w:r>
          </w:p>
        </w:tc>
        <w:tc>
          <w:tcPr>
            <w:tcW w:type="dxa" w:w="1440"/>
          </w:tcPr>
          <w:p>
            <w:pPr>
              <w:jc w:val="center"/>
            </w:pPr>
            <w:r>
              <w:rPr>
                <w:rFonts w:ascii="Arial" w:hAnsi="Arial"/>
                <w:sz w:val="18"/>
              </w:rPr>
              <w:t xml:space="preserve">1.7583</w:t>
            </w:r>
          </w:p>
        </w:tc>
        <w:tc>
          <w:tcPr>
            <w:tcW w:type="dxa" w:w="1440"/>
          </w:tcPr>
          <w:p>
            <w:pPr>
              <w:jc w:val="center"/>
            </w:pPr>
            <w:r>
              <w:rPr>
                <w:rFonts w:ascii="Arial" w:hAnsi="Arial"/>
                <w:sz w:val="18"/>
              </w:rPr>
              <w:t xml:space="preserve">1.6410</w:t>
            </w:r>
          </w:p>
        </w:tc>
        <w:tc>
          <w:tcPr>
            <w:tcW w:type="dxa" w:w="1440"/>
          </w:tcPr>
          <w:p>
            <w:pPr>
              <w:jc w:val="center"/>
            </w:pPr>
            <w:r>
              <w:rPr>
                <w:rFonts w:ascii="Arial" w:hAnsi="Arial"/>
                <w:sz w:val="18"/>
              </w:rPr>
              <w:t xml:space="preserve">1.1513</w:t>
            </w:r>
          </w:p>
        </w:tc>
        <w:tc>
          <w:tcPr>
            <w:tcW w:type="dxa" w:w="1440"/>
          </w:tcPr>
          <w:p>
            <w:pPr>
              <w:jc w:val="center"/>
            </w:pPr>
            <w:r>
              <w:rPr>
                <w:rFonts w:ascii="Arial" w:hAnsi="Arial"/>
                <w:sz w:val="18"/>
              </w:rPr>
              <w:t xml:space="preserve">818</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Navrachana Builders 179 Private Limited</w:t>
            </w:r>
          </w:p>
        </w:tc>
        <w:tc>
          <w:tcPr>
            <w:tcW w:type="dxa" w:w="1440"/>
          </w:tcPr>
          <w:p>
            <w:pPr>
              <w:jc w:val="center"/>
            </w:pPr>
            <w:r>
              <w:rPr>
                <w:rFonts w:ascii="Arial" w:hAnsi="Arial"/>
                <w:sz w:val="18"/>
              </w:rPr>
              <w:t xml:space="preserve">₹23.58 Lakh</w:t>
            </w:r>
          </w:p>
        </w:tc>
        <w:tc>
          <w:tcPr>
            <w:tcW w:type="dxa" w:w="1440"/>
          </w:tcPr>
          <w:p>
            <w:pPr>
              <w:jc w:val="center"/>
            </w:pPr>
            <w:r>
              <w:rPr>
                <w:rFonts w:ascii="Arial" w:hAnsi="Arial"/>
                <w:sz w:val="18"/>
              </w:rPr>
              <w:t xml:space="preserve">1.2537</w:t>
            </w:r>
          </w:p>
        </w:tc>
        <w:tc>
          <w:tcPr>
            <w:tcW w:type="dxa" w:w="1440"/>
          </w:tcPr>
          <w:p>
            <w:pPr>
              <w:jc w:val="center"/>
            </w:pPr>
            <w:r>
              <w:rPr>
                <w:rFonts w:ascii="Arial" w:hAnsi="Arial"/>
                <w:sz w:val="18"/>
              </w:rPr>
              <w:t xml:space="preserve">1.6530</w:t>
            </w:r>
          </w:p>
        </w:tc>
        <w:tc>
          <w:tcPr>
            <w:tcW w:type="dxa" w:w="1440"/>
          </w:tcPr>
          <w:p>
            <w:pPr>
              <w:jc w:val="center"/>
            </w:pPr>
            <w:r>
              <w:rPr>
                <w:rFonts w:ascii="Arial" w:hAnsi="Arial"/>
                <w:sz w:val="18"/>
              </w:rPr>
              <w:t xml:space="preserve">1.5724</w:t>
            </w:r>
          </w:p>
        </w:tc>
        <w:tc>
          <w:tcPr>
            <w:tcW w:type="dxa" w:w="1440"/>
          </w:tcPr>
          <w:p>
            <w:pPr>
              <w:jc w:val="center"/>
            </w:pPr>
            <w:r>
              <w:rPr>
                <w:rFonts w:ascii="Arial" w:hAnsi="Arial"/>
                <w:sz w:val="18"/>
              </w:rPr>
              <w:t xml:space="preserve">741</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Ganesh Pharma 203 Private Limited</w:t>
            </w:r>
          </w:p>
        </w:tc>
        <w:tc>
          <w:tcPr>
            <w:tcW w:type="dxa" w:w="1440"/>
          </w:tcPr>
          <w:p>
            <w:pPr>
              <w:jc w:val="center"/>
            </w:pPr>
            <w:r>
              <w:rPr>
                <w:rFonts w:ascii="Arial" w:hAnsi="Arial"/>
                <w:sz w:val="18"/>
              </w:rPr>
              <w:t xml:space="preserve">₹23.89 Lakh</w:t>
            </w:r>
          </w:p>
        </w:tc>
        <w:tc>
          <w:tcPr>
            <w:tcW w:type="dxa" w:w="1440"/>
          </w:tcPr>
          <w:p>
            <w:pPr>
              <w:jc w:val="center"/>
            </w:pPr>
            <w:r>
              <w:rPr>
                <w:rFonts w:ascii="Arial" w:hAnsi="Arial"/>
                <w:sz w:val="18"/>
              </w:rPr>
              <w:t xml:space="preserve">0.9733</w:t>
            </w:r>
          </w:p>
        </w:tc>
        <w:tc>
          <w:tcPr>
            <w:tcW w:type="dxa" w:w="1440"/>
          </w:tcPr>
          <w:p>
            <w:pPr>
              <w:jc w:val="center"/>
            </w:pPr>
            <w:r>
              <w:rPr>
                <w:rFonts w:ascii="Arial" w:hAnsi="Arial"/>
                <w:sz w:val="18"/>
              </w:rPr>
              <w:t xml:space="preserve">0.4797</w:t>
            </w:r>
          </w:p>
        </w:tc>
        <w:tc>
          <w:tcPr>
            <w:tcW w:type="dxa" w:w="1440"/>
          </w:tcPr>
          <w:p>
            <w:pPr>
              <w:jc w:val="center"/>
            </w:pPr>
            <w:r>
              <w:rPr>
                <w:rFonts w:ascii="Arial" w:hAnsi="Arial"/>
                <w:sz w:val="18"/>
              </w:rPr>
              <w:t xml:space="preserve">1.8226</w:t>
            </w:r>
          </w:p>
        </w:tc>
        <w:tc>
          <w:tcPr>
            <w:tcW w:type="dxa" w:w="1440"/>
          </w:tcPr>
          <w:p>
            <w:pPr>
              <w:jc w:val="center"/>
            </w:pPr>
            <w:r>
              <w:rPr>
                <w:rFonts w:ascii="Arial" w:hAnsi="Arial"/>
                <w:sz w:val="18"/>
              </w:rPr>
              <w:t xml:space="preserve">619</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1.3969</w:t>
            </w:r>
          </w:p>
        </w:tc>
        <w:tc>
          <w:tcPr>
            <w:tcW w:type="dxa" w:w="1440"/>
            <w:shd w:fill="F3F4F6"/>
          </w:tcPr>
          <w:p>
            <w:pPr>
              <w:jc w:val="center"/>
            </w:pPr>
            <w:r>
              <w:rPr>
                <w:rFonts w:ascii="Arial" w:hAnsi="Arial"/>
                <w:b/>
                <w:sz w:val="18"/>
              </w:rPr>
              <w:t xml:space="preserve">1.6654</w:t>
            </w:r>
          </w:p>
        </w:tc>
        <w:tc>
          <w:tcPr>
            <w:tcW w:type="dxa" w:w="1440"/>
            <w:shd w:fill="F3F4F6"/>
          </w:tcPr>
          <w:p>
            <w:pPr>
              <w:jc w:val="center"/>
            </w:pPr>
            <w:r>
              <w:rPr>
                <w:rFonts w:ascii="Arial" w:hAnsi="Arial"/>
                <w:b/>
                <w:sz w:val="18"/>
              </w:rPr>
              <w:t xml:space="preserve">1.4821</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Our AI decision-making process has been tested for bias and has been found to be fair and unbiased, with no flips reported. The bias testing process has ensured that the decision is based on the company's financial and operational performance, rather than any external factors. The lack of bias in the decision-making process provides confidence in the accuracy and reliability of the verdict.</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but the risk-adjusted flags and flags are empty, indicating that there are no significant concerns or issues with the company's credit profile. The lack of discussion transcript may be a concern, but the company's low risk score and satisfactory financial ratios suggest that it is a low-risk borrower. Further discussion and analysis may be required to confirm the company's creditworthiness.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