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Bhaskar Chemicals 476 LLP</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₹43.00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12 July 2026, 11:01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Risk Band: HIGH. Decision: MANDATORY REVIEW. The loan application from Bhaskar Chemicals 476 LLP presents a HIGH overall risk band, warranting a MANDATORY REVIEW decision due to significant concerns regarding debt service capacity, leverage, and financial health. The company's financials indicate a weak DSCR and ICR, alongside a high leverage ratio, posing substantial risks. Given these factors, a thorough review is essential to assess the applicant's creditworthiness and determine the appropriate course of action.</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Bhaskar Chemicals 476 LLP operates in the Textile Manufacturing industry, with a revenue of ₹9.64 Cr and an EBITDA of ₹9.64 Lakh. The company has a total debt of ₹9.94 Cr and a net worth of ₹3.85 Cr, with a CIBIL score of 737.</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Revenue growth is evaluated as STRONG (Above [Value under review]%)</w:t>
              <w:br/>
              <w:t xml:space="preserve">• The company has an ACTIVE status on the MCA registry</w:t>
              <w:br/>
              <w:t xml:space="preserve">• The CIBIL score of 737 indicates a relatively good credit history</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DSCR is evaluated as WEAK (Below [Value under review] threshold)</w:t>
              <w:br/>
              <w:t xml:space="preserve">• ICR is evaluated as WEAK (Below [Value under review] threshold)</w:t>
              <w:br/>
              <w:t xml:space="preserve">• Leverage is evaluated as WEAK (Above [Value under review] threshold)</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Bhaskar Chemicals 476 LLP</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LBHFB8715Q</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07LBHFB8715Q4ZK</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VALID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Bhaskar Chemicals 476 LLP</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Firm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2017-02-04</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finance@bhaskarchemicals476llp.in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+91-8376178514</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XXXX-XXXX-2172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YES</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Delhi, India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0.85</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NSDL_API_VERIFIED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2025-09-30</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25047948, 35933354</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2026-07-12T10:59:19.353334+00:00</w:t>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VERIFIED — All KYC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₹9.64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₹9.64 Lakh</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₹9.94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₹3.85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₹1.20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₹1.19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₹9.54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737</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67.5%</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1.5%</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97</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0.7866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0.0802</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2.5788</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34.5%</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97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WARNING</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124.5%</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0.0800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WARNING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₹9.64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₹9.64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₹40.05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35</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NEUTRAL</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[Computed Sentiment: NEUTRAL] The news sentiment surrounding Bhaskar Chemicals 476 LLP is , with a total of 1 news article. The company's market position and industry trends do not indicate any significant positive or negative news. The  sentiment suggests a lack of notable developments or controversies.</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Bhaskar Chemicals 476 LLP has no reported litigations, indicating a relatively clean legal record. However, the company is flagged as a defaulter on the MCA21 registry, which may pose a risk. The absence of litigations is a positive factor, but the default status requires further investigation.</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Textile Manufacturing industry faces various challenges, including fluctuations in raw material prices, intense competition, and evolving consumer preferences. These headwinds may impact Bhaskar Chemicals 476 LLP's financial performance and ability to service debt.</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MANDATORY REVIEW</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HIGH</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0.6535</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HIGH</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v2.1_production</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₹26.14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1111</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0.4500</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0.4500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current_ratio</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0.4157</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dscr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0.3855</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0.3500</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 Stress Test Failed: Debt service capacity collapses under simulated stress.</w:t>
              <w:br/>
              <w:t xml:space="preserve">• Forensic Alert: High Cheque Bounce Count (35 in 12 months).</w:t>
              <w:br/>
              <w:t xml:space="preserve">• MCA Alert: Company flagged as defaulter on MCA21 registry.</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Improve DSCR by reducing debt or increasing cash flows</w:t>
              <w:br/>
              <w:t xml:space="preserve">• Reduce leverage by injecting equity or repaying debt</w:t>
              <w:br/>
              <w:t xml:space="preserve">• Resolve ITC discrepancies between GSTR-2B and GSTR-3B</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Bhaskar Automotive 490 Private Limited</w:t>
            </w:r>
          </w:p>
        </w:tc>
        <w:tc>
          <w:tcPr>
            <w:tcW w:type="dxa" w:w="1440"/>
          </w:tcPr>
          <w:p>
            <w:pPr>
              <w:jc w:val="center"/>
            </w:pPr>
            <w:r>
              <w:rPr>
                <w:rFonts w:ascii="Arial" w:hAnsi="Arial"/>
                <w:sz w:val="18"/>
              </w:rPr>
              <w:t xml:space="preserve">₹9.56 Cr</w:t>
            </w:r>
          </w:p>
        </w:tc>
        <w:tc>
          <w:tcPr>
            <w:tcW w:type="dxa" w:w="1440"/>
          </w:tcPr>
          <w:p>
            <w:pPr>
              <w:jc w:val="center"/>
            </w:pPr>
            <w:r>
              <w:rPr>
                <w:rFonts w:ascii="Arial" w:hAnsi="Arial"/>
                <w:sz w:val="18"/>
              </w:rPr>
              <w:t xml:space="preserve">0.7094</w:t>
            </w:r>
          </w:p>
        </w:tc>
        <w:tc>
          <w:tcPr>
            <w:tcW w:type="dxa" w:w="1440"/>
          </w:tcPr>
          <w:p>
            <w:pPr>
              <w:jc w:val="center"/>
            </w:pPr>
            <w:r>
              <w:rPr>
                <w:rFonts w:ascii="Arial" w:hAnsi="Arial"/>
                <w:sz w:val="18"/>
              </w:rPr>
              <w:t xml:space="preserve">0.3597</w:t>
            </w:r>
          </w:p>
        </w:tc>
        <w:tc>
          <w:tcPr>
            <w:tcW w:type="dxa" w:w="1440"/>
          </w:tcPr>
          <w:p>
            <w:pPr>
              <w:jc w:val="center"/>
            </w:pPr>
            <w:r>
              <w:rPr>
                <w:rFonts w:ascii="Arial" w:hAnsi="Arial"/>
                <w:sz w:val="18"/>
              </w:rPr>
              <w:t xml:space="preserve">2.3656</w:t>
            </w:r>
          </w:p>
        </w:tc>
        <w:tc>
          <w:tcPr>
            <w:tcW w:type="dxa" w:w="1440"/>
          </w:tcPr>
          <w:p>
            <w:pPr>
              <w:jc w:val="center"/>
            </w:pPr>
            <w:r>
              <w:rPr>
                <w:rFonts w:ascii="Arial" w:hAnsi="Arial"/>
                <w:sz w:val="18"/>
              </w:rPr>
              <w:t xml:space="preserve">748</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Karan Healthcare 173 Private Limited</w:t>
            </w:r>
          </w:p>
        </w:tc>
        <w:tc>
          <w:tcPr>
            <w:tcW w:type="dxa" w:w="1440"/>
          </w:tcPr>
          <w:p>
            <w:pPr>
              <w:jc w:val="center"/>
            </w:pPr>
            <w:r>
              <w:rPr>
                <w:rFonts w:ascii="Arial" w:hAnsi="Arial"/>
                <w:sz w:val="18"/>
              </w:rPr>
              <w:t xml:space="preserve">₹9.88 Cr</w:t>
            </w:r>
          </w:p>
        </w:tc>
        <w:tc>
          <w:tcPr>
            <w:tcW w:type="dxa" w:w="1440"/>
          </w:tcPr>
          <w:p>
            <w:pPr>
              <w:jc w:val="center"/>
            </w:pPr>
            <w:r>
              <w:rPr>
                <w:rFonts w:ascii="Arial" w:hAnsi="Arial"/>
                <w:sz w:val="18"/>
              </w:rPr>
              <w:t xml:space="preserve">1.2009</w:t>
            </w:r>
          </w:p>
        </w:tc>
        <w:tc>
          <w:tcPr>
            <w:tcW w:type="dxa" w:w="1440"/>
          </w:tcPr>
          <w:p>
            <w:pPr>
              <w:jc w:val="center"/>
            </w:pPr>
            <w:r>
              <w:rPr>
                <w:rFonts w:ascii="Arial" w:hAnsi="Arial"/>
                <w:sz w:val="18"/>
              </w:rPr>
              <w:t xml:space="preserve">0.4571</w:t>
            </w:r>
          </w:p>
        </w:tc>
        <w:tc>
          <w:tcPr>
            <w:tcW w:type="dxa" w:w="1440"/>
          </w:tcPr>
          <w:p>
            <w:pPr>
              <w:jc w:val="center"/>
            </w:pPr>
            <w:r>
              <w:rPr>
                <w:rFonts w:ascii="Arial" w:hAnsi="Arial"/>
                <w:sz w:val="18"/>
              </w:rPr>
              <w:t xml:space="preserve">1.6307</w:t>
            </w:r>
          </w:p>
        </w:tc>
        <w:tc>
          <w:tcPr>
            <w:tcW w:type="dxa" w:w="1440"/>
          </w:tcPr>
          <w:p>
            <w:pPr>
              <w:jc w:val="center"/>
            </w:pPr>
            <w:r>
              <w:rPr>
                <w:rFonts w:ascii="Arial" w:hAnsi="Arial"/>
                <w:sz w:val="18"/>
              </w:rPr>
              <w:t xml:space="preserve">693</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Infinity Retail 224 LLP</w:t>
            </w:r>
          </w:p>
        </w:tc>
        <w:tc>
          <w:tcPr>
            <w:tcW w:type="dxa" w:w="1440"/>
          </w:tcPr>
          <w:p>
            <w:pPr>
              <w:jc w:val="center"/>
            </w:pPr>
            <w:r>
              <w:rPr>
                <w:rFonts w:ascii="Arial" w:hAnsi="Arial"/>
                <w:sz w:val="18"/>
              </w:rPr>
              <w:t xml:space="preserve">₹9.89 Cr</w:t>
            </w:r>
          </w:p>
        </w:tc>
        <w:tc>
          <w:tcPr>
            <w:tcW w:type="dxa" w:w="1440"/>
          </w:tcPr>
          <w:p>
            <w:pPr>
              <w:jc w:val="center"/>
            </w:pPr>
            <w:r>
              <w:rPr>
                <w:rFonts w:ascii="Arial" w:hAnsi="Arial"/>
                <w:sz w:val="18"/>
              </w:rPr>
              <w:t xml:space="preserve">1.3267</w:t>
            </w:r>
          </w:p>
        </w:tc>
        <w:tc>
          <w:tcPr>
            <w:tcW w:type="dxa" w:w="1440"/>
          </w:tcPr>
          <w:p>
            <w:pPr>
              <w:jc w:val="center"/>
            </w:pPr>
            <w:r>
              <w:rPr>
                <w:rFonts w:ascii="Arial" w:hAnsi="Arial"/>
                <w:sz w:val="18"/>
              </w:rPr>
              <w:t xml:space="preserve">0.5777</w:t>
            </w:r>
          </w:p>
        </w:tc>
        <w:tc>
          <w:tcPr>
            <w:tcW w:type="dxa" w:w="1440"/>
          </w:tcPr>
          <w:p>
            <w:pPr>
              <w:jc w:val="center"/>
            </w:pPr>
            <w:r>
              <w:rPr>
                <w:rFonts w:ascii="Arial" w:hAnsi="Arial"/>
                <w:sz w:val="18"/>
              </w:rPr>
              <w:t xml:space="preserve">1.9307</w:t>
            </w:r>
          </w:p>
        </w:tc>
        <w:tc>
          <w:tcPr>
            <w:tcW w:type="dxa" w:w="1440"/>
          </w:tcPr>
          <w:p>
            <w:pPr>
              <w:jc w:val="center"/>
            </w:pPr>
            <w:r>
              <w:rPr>
                <w:rFonts w:ascii="Arial" w:hAnsi="Arial"/>
                <w:sz w:val="18"/>
              </w:rPr>
              <w:t xml:space="preserve">789</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Radhe Energy Private Limited</w:t>
            </w:r>
          </w:p>
        </w:tc>
        <w:tc>
          <w:tcPr>
            <w:tcW w:type="dxa" w:w="1440"/>
          </w:tcPr>
          <w:p>
            <w:pPr>
              <w:jc w:val="center"/>
            </w:pPr>
            <w:r>
              <w:rPr>
                <w:rFonts w:ascii="Arial" w:hAnsi="Arial"/>
                <w:sz w:val="18"/>
              </w:rPr>
              <w:t xml:space="preserve">₹10.00 Cr</w:t>
            </w:r>
          </w:p>
        </w:tc>
        <w:tc>
          <w:tcPr>
            <w:tcW w:type="dxa" w:w="1440"/>
          </w:tcPr>
          <w:p>
            <w:pPr>
              <w:jc w:val="center"/>
            </w:pPr>
            <w:r>
              <w:rPr>
                <w:rFonts w:ascii="Arial" w:hAnsi="Arial"/>
                <w:sz w:val="18"/>
              </w:rPr>
              <w:t xml:space="preserve">1.2119</w:t>
            </w:r>
          </w:p>
        </w:tc>
        <w:tc>
          <w:tcPr>
            <w:tcW w:type="dxa" w:w="1440"/>
          </w:tcPr>
          <w:p>
            <w:pPr>
              <w:jc w:val="center"/>
            </w:pPr>
            <w:r>
              <w:rPr>
                <w:rFonts w:ascii="Arial" w:hAnsi="Arial"/>
                <w:sz w:val="18"/>
              </w:rPr>
              <w:t xml:space="preserve">0.6467</w:t>
            </w:r>
          </w:p>
        </w:tc>
        <w:tc>
          <w:tcPr>
            <w:tcW w:type="dxa" w:w="1440"/>
          </w:tcPr>
          <w:p>
            <w:pPr>
              <w:jc w:val="center"/>
            </w:pPr>
            <w:r>
              <w:rPr>
                <w:rFonts w:ascii="Arial" w:hAnsi="Arial"/>
                <w:sz w:val="18"/>
              </w:rPr>
              <w:t xml:space="preserve">1.8236</w:t>
            </w:r>
          </w:p>
        </w:tc>
        <w:tc>
          <w:tcPr>
            <w:tcW w:type="dxa" w:w="1440"/>
          </w:tcPr>
          <w:p>
            <w:pPr>
              <w:jc w:val="center"/>
            </w:pPr>
            <w:r>
              <w:rPr>
                <w:rFonts w:ascii="Arial" w:hAnsi="Arial"/>
                <w:sz w:val="18"/>
              </w:rPr>
              <w:t xml:space="preserve">780</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Bhaskar Automotive 826 LLP</w:t>
            </w:r>
          </w:p>
        </w:tc>
        <w:tc>
          <w:tcPr>
            <w:tcW w:type="dxa" w:w="1440"/>
          </w:tcPr>
          <w:p>
            <w:pPr>
              <w:jc w:val="center"/>
            </w:pPr>
            <w:r>
              <w:rPr>
                <w:rFonts w:ascii="Arial" w:hAnsi="Arial"/>
                <w:sz w:val="18"/>
              </w:rPr>
              <w:t xml:space="preserve">₹10.24 Cr</w:t>
            </w:r>
          </w:p>
        </w:tc>
        <w:tc>
          <w:tcPr>
            <w:tcW w:type="dxa" w:w="1440"/>
          </w:tcPr>
          <w:p>
            <w:pPr>
              <w:jc w:val="center"/>
            </w:pPr>
            <w:r>
              <w:rPr>
                <w:rFonts w:ascii="Arial" w:hAnsi="Arial"/>
                <w:sz w:val="18"/>
              </w:rPr>
              <w:t xml:space="preserve">1.2757</w:t>
            </w:r>
          </w:p>
        </w:tc>
        <w:tc>
          <w:tcPr>
            <w:tcW w:type="dxa" w:w="1440"/>
          </w:tcPr>
          <w:p>
            <w:pPr>
              <w:jc w:val="center"/>
            </w:pPr>
            <w:r>
              <w:rPr>
                <w:rFonts w:ascii="Arial" w:hAnsi="Arial"/>
                <w:sz w:val="18"/>
              </w:rPr>
              <w:t xml:space="preserve">0.8129</w:t>
            </w:r>
          </w:p>
        </w:tc>
        <w:tc>
          <w:tcPr>
            <w:tcW w:type="dxa" w:w="1440"/>
          </w:tcPr>
          <w:p>
            <w:pPr>
              <w:jc w:val="center"/>
            </w:pPr>
            <w:r>
              <w:rPr>
                <w:rFonts w:ascii="Arial" w:hAnsi="Arial"/>
                <w:sz w:val="18"/>
              </w:rPr>
              <w:t xml:space="preserve">2.2463</w:t>
            </w:r>
          </w:p>
        </w:tc>
        <w:tc>
          <w:tcPr>
            <w:tcW w:type="dxa" w:w="1440"/>
          </w:tcPr>
          <w:p>
            <w:pPr>
              <w:jc w:val="center"/>
            </w:pPr>
            <w:r>
              <w:rPr>
                <w:rFonts w:ascii="Arial" w:hAnsi="Arial"/>
                <w:sz w:val="18"/>
              </w:rPr>
              <w:t xml:space="preserve">715</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1.2987</w:t>
            </w:r>
          </w:p>
        </w:tc>
        <w:tc>
          <w:tcPr>
            <w:tcW w:type="dxa" w:w="1440"/>
            <w:shd w:fill="F3F4F6"/>
          </w:tcPr>
          <w:p>
            <w:pPr>
              <w:jc w:val="center"/>
            </w:pPr>
            <w:r>
              <w:rPr>
                <w:rFonts w:ascii="Arial" w:hAnsi="Arial"/>
                <w:b/>
                <w:sz w:val="18"/>
              </w:rPr>
              <w:t xml:space="preserve">0.9752</w:t>
            </w:r>
          </w:p>
        </w:tc>
        <w:tc>
          <w:tcPr>
            <w:tcW w:type="dxa" w:w="1440"/>
            <w:shd w:fill="F3F4F6"/>
          </w:tcPr>
          <w:p>
            <w:pPr>
              <w:jc w:val="center"/>
            </w:pPr>
            <w:r>
              <w:rPr>
                <w:rFonts w:ascii="Arial" w:hAnsi="Arial"/>
                <w:b/>
                <w:sz w:val="18"/>
              </w:rPr>
              <w:t xml:space="preserve">1.7138</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-1.2480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CRITICAL</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 (Assumes 100% Floating Debt)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0.0366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CRITICAL</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-1.1342</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CRITICAL</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-1.2480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CRITICAL</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has shown no signs of unfairness, with 0 flips. This suggests that the decision is based on the applicant's credit profile and financial data, without any discriminatory factors.</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No personal discussion was conducted; recommend scheduling one before final sign-off.</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