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Vanguard Chemicals 389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₹44.00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19:12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Vanguard Chemicals 389 Private Limited has a low risk profile with a risk score of 0.2484, and the decision is to approve the loan. The company's financial health is satisfactory, with a DSCR of 1.5765 and an ICR of 1.3222. The recommendation is to proceed with the loan approval, considering the company's overall credit profile. The risk verdict is LOW, indicating a favorable credit decision.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Vanguard Chemicals 389 Private Limited operates in the Textile Manufacturing industry, with an unknown market position due to insufficient data. The company's GST status is OK, indicating compliance with tax regulations. The industry is subject to various challenges, including fluctuations in raw material prices and changing consumer demand.</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0.2484, indicating a favorable credit profile</w:t>
              <w:br/>
              <w:t xml:space="preserve">• Satisfactory DSCR and ICR, indicating ability to meet debt obligations</w:t>
              <w:br/>
              <w:t xml:space="preserve">• OK GST status, indicating compliance with tax regulations</w:t>
              <w:br/>
              <w:t xml:space="preserve">• Low bank divergence percentage, indicating minimal discrepancies in bank statements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Insufficient financial data, including revenue, EBITDA, total debt, and net worth</w:t>
              <w:br/>
              <w:t xml:space="preserve">• Unknown market position in the Textile Manufacturing industry</w:t>
              <w:br/>
              <w:t xml:space="preserve">• Limited news coverage, with only one news article found</w:t>
              <w:br/>
              <w:t xml:space="preserve">• No data on stress testing, including worst-case DSCR</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Vanguard Chemicals 389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BMICV5215Z</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09BMICV5215Z4ZL</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L17120UP2012PLC504760</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1.5765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1.3222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1.4540</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8.6%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8.4%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1.9%</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2.3%</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₹1.24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coverage of Vanguard Chemicals 389 Private Limited, with only one news article found. The sentiment of the news article is not available due to insufficient data. The lack of news coverage may indicate a low public profile or limited media presence.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reported litigations against Vanguard Chemicals 389 Private Limited, indicating a low litigation risk. The company's MCA status is unknown, and there is no information on any defaulters. The absence of litigations is a positive indicator of the company's credit profile.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Textile Manufacturing industry is subject to various challenges, including fluctuations in raw material prices, changing consumer demand, and increasing competition. The industry is also affected by government policies and regulations, including tax laws and environmental regulations. These challenges may impact the company's financial performance and credit profile.</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0.2484</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₹37.44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949</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0.1146</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0.0788</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0.0675</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0.0035</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0.0029</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including revenue, EBITDA, total debt, and net worth</w:t>
              <w:br/>
              <w:t xml:space="preserve">• Conduct stress testing to assess the company's ability to withstand adverse conditions</w:t>
              <w:br/>
              <w:t xml:space="preserve">• Improve GST compliance and reduce discrepancies in bank statements</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Hindustan Renewables 537 LLP</w:t>
            </w:r>
          </w:p>
        </w:tc>
        <w:tc>
          <w:tcPr>
            <w:tcW w:type="dxa" w:w="1440"/>
          </w:tcPr>
          <w:p>
            <w:pPr>
              <w:jc w:val="center"/>
            </w:pPr>
            <w:r>
              <w:rPr>
                <w:rFonts w:ascii="Arial" w:hAnsi="Arial"/>
                <w:sz w:val="18"/>
              </w:rPr>
              <w:t xml:space="preserve">₹44.25 Lakh</w:t>
            </w:r>
          </w:p>
        </w:tc>
        <w:tc>
          <w:tcPr>
            <w:tcW w:type="dxa" w:w="1440"/>
          </w:tcPr>
          <w:p>
            <w:pPr>
              <w:jc w:val="center"/>
            </w:pPr>
            <w:r>
              <w:rPr>
                <w:rFonts w:ascii="Arial" w:hAnsi="Arial"/>
                <w:sz w:val="18"/>
              </w:rPr>
              <w:t xml:space="preserve">1.1400</w:t>
            </w:r>
          </w:p>
        </w:tc>
        <w:tc>
          <w:tcPr>
            <w:tcW w:type="dxa" w:w="1440"/>
          </w:tcPr>
          <w:p>
            <w:pPr>
              <w:jc w:val="center"/>
            </w:pPr>
            <w:r>
              <w:rPr>
                <w:rFonts w:ascii="Arial" w:hAnsi="Arial"/>
                <w:sz w:val="18"/>
              </w:rPr>
              <w:t xml:space="preserve">0.7268</w:t>
            </w:r>
          </w:p>
        </w:tc>
        <w:tc>
          <w:tcPr>
            <w:tcW w:type="dxa" w:w="1440"/>
          </w:tcPr>
          <w:p>
            <w:pPr>
              <w:jc w:val="center"/>
            </w:pPr>
            <w:r>
              <w:rPr>
                <w:rFonts w:ascii="Arial" w:hAnsi="Arial"/>
                <w:sz w:val="18"/>
              </w:rPr>
              <w:t xml:space="preserve">2.0122</w:t>
            </w:r>
          </w:p>
        </w:tc>
        <w:tc>
          <w:tcPr>
            <w:tcW w:type="dxa" w:w="1440"/>
          </w:tcPr>
          <w:p>
            <w:pPr>
              <w:jc w:val="center"/>
            </w:pPr>
            <w:r>
              <w:rPr>
                <w:rFonts w:ascii="Arial" w:hAnsi="Arial"/>
                <w:sz w:val="18"/>
              </w:rPr>
              <w:t xml:space="preserve">730</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Karan Automotive 390 LLP</w:t>
            </w:r>
          </w:p>
        </w:tc>
        <w:tc>
          <w:tcPr>
            <w:tcW w:type="dxa" w:w="1440"/>
          </w:tcPr>
          <w:p>
            <w:pPr>
              <w:jc w:val="center"/>
            </w:pPr>
            <w:r>
              <w:rPr>
                <w:rFonts w:ascii="Arial" w:hAnsi="Arial"/>
                <w:sz w:val="18"/>
              </w:rPr>
              <w:t xml:space="preserve">₹44.60 Lakh</w:t>
            </w:r>
          </w:p>
        </w:tc>
        <w:tc>
          <w:tcPr>
            <w:tcW w:type="dxa" w:w="1440"/>
          </w:tcPr>
          <w:p>
            <w:pPr>
              <w:jc w:val="center"/>
            </w:pPr>
            <w:r>
              <w:rPr>
                <w:rFonts w:ascii="Arial" w:hAnsi="Arial"/>
                <w:sz w:val="18"/>
              </w:rPr>
              <w:t xml:space="preserve">1.3244</w:t>
            </w:r>
          </w:p>
        </w:tc>
        <w:tc>
          <w:tcPr>
            <w:tcW w:type="dxa" w:w="1440"/>
          </w:tcPr>
          <w:p>
            <w:pPr>
              <w:jc w:val="center"/>
            </w:pPr>
            <w:r>
              <w:rPr>
                <w:rFonts w:ascii="Arial" w:hAnsi="Arial"/>
                <w:sz w:val="18"/>
              </w:rPr>
              <w:t xml:space="preserve">1.0100</w:t>
            </w:r>
          </w:p>
        </w:tc>
        <w:tc>
          <w:tcPr>
            <w:tcW w:type="dxa" w:w="1440"/>
          </w:tcPr>
          <w:p>
            <w:pPr>
              <w:jc w:val="center"/>
            </w:pPr>
            <w:r>
              <w:rPr>
                <w:rFonts w:ascii="Arial" w:hAnsi="Arial"/>
                <w:sz w:val="18"/>
              </w:rPr>
              <w:t xml:space="preserve">1.4408</w:t>
            </w:r>
          </w:p>
        </w:tc>
        <w:tc>
          <w:tcPr>
            <w:tcW w:type="dxa" w:w="1440"/>
          </w:tcPr>
          <w:p>
            <w:pPr>
              <w:jc w:val="center"/>
            </w:pPr>
            <w:r>
              <w:rPr>
                <w:rFonts w:ascii="Arial" w:hAnsi="Arial"/>
                <w:sz w:val="18"/>
              </w:rPr>
              <w:t xml:space="preserve">737</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Infinity Automotive Partnership Firm</w:t>
            </w:r>
          </w:p>
        </w:tc>
        <w:tc>
          <w:tcPr>
            <w:tcW w:type="dxa" w:w="1440"/>
          </w:tcPr>
          <w:p>
            <w:pPr>
              <w:jc w:val="center"/>
            </w:pPr>
            <w:r>
              <w:rPr>
                <w:rFonts w:ascii="Arial" w:hAnsi="Arial"/>
                <w:sz w:val="18"/>
              </w:rPr>
              <w:t xml:space="preserve">₹43.35 Lakh</w:t>
            </w:r>
          </w:p>
        </w:tc>
        <w:tc>
          <w:tcPr>
            <w:tcW w:type="dxa" w:w="1440"/>
          </w:tcPr>
          <w:p>
            <w:pPr>
              <w:jc w:val="center"/>
            </w:pPr>
            <w:r>
              <w:rPr>
                <w:rFonts w:ascii="Arial" w:hAnsi="Arial"/>
                <w:sz w:val="18"/>
              </w:rPr>
              <w:t xml:space="preserve">1.4367</w:t>
            </w:r>
          </w:p>
        </w:tc>
        <w:tc>
          <w:tcPr>
            <w:tcW w:type="dxa" w:w="1440"/>
          </w:tcPr>
          <w:p>
            <w:pPr>
              <w:jc w:val="center"/>
            </w:pPr>
            <w:r>
              <w:rPr>
                <w:rFonts w:ascii="Arial" w:hAnsi="Arial"/>
                <w:sz w:val="18"/>
              </w:rPr>
              <w:t xml:space="preserve">0.7773</w:t>
            </w:r>
          </w:p>
        </w:tc>
        <w:tc>
          <w:tcPr>
            <w:tcW w:type="dxa" w:w="1440"/>
          </w:tcPr>
          <w:p>
            <w:pPr>
              <w:jc w:val="center"/>
            </w:pPr>
            <w:r>
              <w:rPr>
                <w:rFonts w:ascii="Arial" w:hAnsi="Arial"/>
                <w:sz w:val="18"/>
              </w:rPr>
              <w:t xml:space="preserve">2.3059</w:t>
            </w:r>
          </w:p>
        </w:tc>
        <w:tc>
          <w:tcPr>
            <w:tcW w:type="dxa" w:w="1440"/>
          </w:tcPr>
          <w:p>
            <w:pPr>
              <w:jc w:val="center"/>
            </w:pPr>
            <w:r>
              <w:rPr>
                <w:rFonts w:ascii="Arial" w:hAnsi="Arial"/>
                <w:sz w:val="18"/>
              </w:rPr>
              <w:t xml:space="preserve">821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Delta Pharma 472 LLP</w:t>
            </w:r>
          </w:p>
        </w:tc>
        <w:tc>
          <w:tcPr>
            <w:tcW w:type="dxa" w:w="1440"/>
          </w:tcPr>
          <w:p>
            <w:pPr>
              <w:jc w:val="center"/>
            </w:pPr>
            <w:r>
              <w:rPr>
                <w:rFonts w:ascii="Arial" w:hAnsi="Arial"/>
                <w:sz w:val="18"/>
              </w:rPr>
              <w:t xml:space="preserve">₹44.84 Lakh</w:t>
            </w:r>
          </w:p>
        </w:tc>
        <w:tc>
          <w:tcPr>
            <w:tcW w:type="dxa" w:w="1440"/>
          </w:tcPr>
          <w:p>
            <w:pPr>
              <w:jc w:val="center"/>
            </w:pPr>
            <w:r>
              <w:rPr>
                <w:rFonts w:ascii="Arial" w:hAnsi="Arial"/>
                <w:sz w:val="18"/>
              </w:rPr>
              <w:t xml:space="preserve">0.7794</w:t>
            </w:r>
          </w:p>
        </w:tc>
        <w:tc>
          <w:tcPr>
            <w:tcW w:type="dxa" w:w="1440"/>
          </w:tcPr>
          <w:p>
            <w:pPr>
              <w:jc w:val="center"/>
            </w:pPr>
            <w:r>
              <w:rPr>
                <w:rFonts w:ascii="Arial" w:hAnsi="Arial"/>
                <w:sz w:val="18"/>
              </w:rPr>
              <w:t xml:space="preserve">0.4068</w:t>
            </w:r>
          </w:p>
        </w:tc>
        <w:tc>
          <w:tcPr>
            <w:tcW w:type="dxa" w:w="1440"/>
          </w:tcPr>
          <w:p>
            <w:pPr>
              <w:jc w:val="center"/>
            </w:pPr>
            <w:r>
              <w:rPr>
                <w:rFonts w:ascii="Arial" w:hAnsi="Arial"/>
                <w:sz w:val="18"/>
              </w:rPr>
              <w:t xml:space="preserve">2.0645</w:t>
            </w:r>
          </w:p>
        </w:tc>
        <w:tc>
          <w:tcPr>
            <w:tcW w:type="dxa" w:w="1440"/>
          </w:tcPr>
          <w:p>
            <w:pPr>
              <w:jc w:val="center"/>
            </w:pPr>
            <w:r>
              <w:rPr>
                <w:rFonts w:ascii="Arial" w:hAnsi="Arial"/>
                <w:sz w:val="18"/>
              </w:rPr>
              <w:t xml:space="preserve">735</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Hindustan Textiles 134 Private Limited</w:t>
            </w:r>
          </w:p>
        </w:tc>
        <w:tc>
          <w:tcPr>
            <w:tcW w:type="dxa" w:w="1440"/>
          </w:tcPr>
          <w:p>
            <w:pPr>
              <w:jc w:val="center"/>
            </w:pPr>
            <w:r>
              <w:rPr>
                <w:rFonts w:ascii="Arial" w:hAnsi="Arial"/>
                <w:sz w:val="18"/>
              </w:rPr>
              <w:t xml:space="preserve">₹45.17 Lakh</w:t>
            </w:r>
          </w:p>
        </w:tc>
        <w:tc>
          <w:tcPr>
            <w:tcW w:type="dxa" w:w="1440"/>
          </w:tcPr>
          <w:p>
            <w:pPr>
              <w:jc w:val="center"/>
            </w:pPr>
            <w:r>
              <w:rPr>
                <w:rFonts w:ascii="Arial" w:hAnsi="Arial"/>
                <w:sz w:val="18"/>
              </w:rPr>
              <w:t xml:space="preserve">0.7093</w:t>
            </w:r>
          </w:p>
        </w:tc>
        <w:tc>
          <w:tcPr>
            <w:tcW w:type="dxa" w:w="1440"/>
          </w:tcPr>
          <w:p>
            <w:pPr>
              <w:jc w:val="center"/>
            </w:pPr>
            <w:r>
              <w:rPr>
                <w:rFonts w:ascii="Arial" w:hAnsi="Arial"/>
                <w:sz w:val="18"/>
              </w:rPr>
              <w:t xml:space="preserve">0.0934</w:t>
            </w:r>
          </w:p>
        </w:tc>
        <w:tc>
          <w:tcPr>
            <w:tcW w:type="dxa" w:w="1440"/>
          </w:tcPr>
          <w:p>
            <w:pPr>
              <w:jc w:val="center"/>
            </w:pPr>
            <w:r>
              <w:rPr>
                <w:rFonts w:ascii="Arial" w:hAnsi="Arial"/>
                <w:sz w:val="18"/>
              </w:rPr>
              <w:t xml:space="preserve">2.4367</w:t>
            </w:r>
          </w:p>
        </w:tc>
        <w:tc>
          <w:tcPr>
            <w:tcW w:type="dxa" w:w="1440"/>
          </w:tcPr>
          <w:p>
            <w:pPr>
              <w:jc w:val="center"/>
            </w:pPr>
            <w:r>
              <w:rPr>
                <w:rFonts w:ascii="Arial" w:hAnsi="Arial"/>
                <w:sz w:val="18"/>
              </w:rPr>
              <w:t xml:space="preserve">597</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1.2128</w:t>
            </w:r>
          </w:p>
        </w:tc>
        <w:tc>
          <w:tcPr>
            <w:tcW w:type="dxa" w:w="1440"/>
            <w:shd w:fill="F3F4F6"/>
          </w:tcPr>
          <w:p>
            <w:pPr>
              <w:jc w:val="center"/>
            </w:pPr>
            <w:r>
              <w:rPr>
                <w:rFonts w:ascii="Arial" w:hAnsi="Arial"/>
                <w:b/>
                <w:sz w:val="18"/>
              </w:rPr>
              <w:t xml:space="preserve">0.8289</w:t>
            </w:r>
          </w:p>
        </w:tc>
        <w:tc>
          <w:tcPr>
            <w:tcW w:type="dxa" w:w="1440"/>
            <w:shd w:fill="F3F4F6"/>
          </w:tcPr>
          <w:p>
            <w:pPr>
              <w:jc w:val="center"/>
            </w:pPr>
            <w:r>
              <w:rPr>
                <w:rFonts w:ascii="Arial" w:hAnsi="Arial"/>
                <w:b/>
                <w:sz w:val="18"/>
              </w:rPr>
              <w:t xml:space="preserve">1.8667</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tested for bias, and the results indicate no bias, with zero flips. The decision is based on a comprehensive analysis of the company's credit profile, including financial data, GST status, and news coverage. The lack of bias ensures a fair and unbiased credit decision.</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There are no personal discussion flags or risk adjustments, indicating that the credit decision is based solely on the company's credit profile. The personal discussion transcript is empty, and there are no additional comments or concerns. The credit decision is objective and data-driven, with no subjective influences.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