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Castrol India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₹25.00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05 July 2026, 15:57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Castrol India Limited has demonstrated a low-risk profile with a risk score of 0.1129, falling within the 'LOW' risk band, leading to an 'APPROVE' decision. The company's financial health is satisfactory, with no major red flags. We recommend approval of the loan application. The key factors contributing to this decision include low bank divergence percentage, minimal bounce rate, and negligible GST discrepancy percentage.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Castrol India Limited is a leading company in its industry, with an active status and no reported defaults. The company's market position is stable, with no significant headwinds or litigations reported. Castrol India Limited operates in a sector with moderate challenges, but the company's overall performance is satisfactory.</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bank divergence percentage, indicating a stable financial position</w:t>
              <w:br/>
              <w:t xml:space="preserve">• Minimal bounce rate, suggesting efficient cash flow management</w:t>
              <w:br/>
              <w:t xml:space="preserve">• Negligible GST discrepancy percentage, reflecting compliance with tax regulations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Insufficient financial data, including revenue, EBITDA, total debt, and net worth</w:t>
              <w:br/>
              <w:t xml:space="preserve">• Unknown industry classification, which may pose sector-specific risks</w:t>
              <w:br/>
              <w:t xml:space="preserve">• Potential risks associated with the company's market position and competitive landscape</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Castrol India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AAACC1234E</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27AAACC1234E1Z5</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L23200MH1979PLC021359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2026-07-05T15:47:37.952183+00:00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no significant news sentiment reported for Castrol India Limited, with zero news count. The company's promoter news sentiment is also neutral, with no major developments or controversies. Overall, the news summary suggests a stable and low-risk profile for the company.</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Castrol India Limited has no reported litigations, with zero litigations reported in the web data. The company's litigation exposure is minimal, and there are no major legal risks associated with the company. The MCA status is active, and the company is not a defaulter, further supporting its low-risk profile.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industry in which Castrol India Limited operates is subject to moderate challenges, including market competition and regulatory requirements. However, the company's stable market position and low-risk profile suggest that it is well-equipped to navigate these headwinds. The sector's overall outlook is stable, with no major disruptions or risks reported.</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0.1129</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₹23.31 Cr</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895</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0.2284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0.1635</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0.0471</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0.0030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0.0027</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data, including revenue, EBITDA, total debt, and net worth</w:t>
              <w:br/>
              <w:t xml:space="preserve">• Clarify industry classification to better assess sector-specific risks</w:t>
              <w:br/>
              <w:t xml:space="preserve">• Monitor and maintain a stable market position and competitive landscape</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Vidya Infrastructure LLP</w:t>
            </w:r>
          </w:p>
        </w:tc>
        <w:tc>
          <w:tcPr>
            <w:tcW w:type="dxa" w:w="1440"/>
          </w:tcPr>
          <w:p>
            <w:pPr>
              <w:jc w:val="center"/>
            </w:pPr>
            <w:r>
              <w:rPr>
                <w:rFonts w:ascii="Arial" w:hAnsi="Arial"/>
                <w:sz w:val="18"/>
              </w:rPr>
              <w:t xml:space="preserve">₹24.95 Cr</w:t>
            </w:r>
          </w:p>
        </w:tc>
        <w:tc>
          <w:tcPr>
            <w:tcW w:type="dxa" w:w="1440"/>
          </w:tcPr>
          <w:p>
            <w:pPr>
              <w:jc w:val="center"/>
            </w:pPr>
            <w:r>
              <w:rPr>
                <w:rFonts w:ascii="Arial" w:hAnsi="Arial"/>
                <w:sz w:val="18"/>
              </w:rPr>
              <w:t xml:space="preserve">1.1074</w:t>
            </w:r>
          </w:p>
        </w:tc>
        <w:tc>
          <w:tcPr>
            <w:tcW w:type="dxa" w:w="1440"/>
          </w:tcPr>
          <w:p>
            <w:pPr>
              <w:jc w:val="center"/>
            </w:pPr>
            <w:r>
              <w:rPr>
                <w:rFonts w:ascii="Arial" w:hAnsi="Arial"/>
                <w:sz w:val="18"/>
              </w:rPr>
              <w:t xml:space="preserve">0.7103</w:t>
            </w:r>
          </w:p>
        </w:tc>
        <w:tc>
          <w:tcPr>
            <w:tcW w:type="dxa" w:w="1440"/>
          </w:tcPr>
          <w:p>
            <w:pPr>
              <w:jc w:val="center"/>
            </w:pPr>
            <w:r>
              <w:rPr>
                <w:rFonts w:ascii="Arial" w:hAnsi="Arial"/>
                <w:sz w:val="18"/>
              </w:rPr>
              <w:t xml:space="preserve">2.0864</w:t>
            </w:r>
          </w:p>
        </w:tc>
        <w:tc>
          <w:tcPr>
            <w:tcW w:type="dxa" w:w="1440"/>
          </w:tcPr>
          <w:p>
            <w:pPr>
              <w:jc w:val="center"/>
            </w:pPr>
            <w:r>
              <w:rPr>
                <w:rFonts w:ascii="Arial" w:hAnsi="Arial"/>
                <w:sz w:val="18"/>
              </w:rPr>
              <w:t xml:space="preserve">799</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Urja Logistics 973 Partnership Firm</w:t>
            </w:r>
          </w:p>
        </w:tc>
        <w:tc>
          <w:tcPr>
            <w:tcW w:type="dxa" w:w="1440"/>
          </w:tcPr>
          <w:p>
            <w:pPr>
              <w:jc w:val="center"/>
            </w:pPr>
            <w:r>
              <w:rPr>
                <w:rFonts w:ascii="Arial" w:hAnsi="Arial"/>
                <w:sz w:val="18"/>
              </w:rPr>
              <w:t xml:space="preserve">₹25.30 Cr</w:t>
            </w:r>
          </w:p>
        </w:tc>
        <w:tc>
          <w:tcPr>
            <w:tcW w:type="dxa" w:w="1440"/>
          </w:tcPr>
          <w:p>
            <w:pPr>
              <w:jc w:val="center"/>
            </w:pPr>
            <w:r>
              <w:rPr>
                <w:rFonts w:ascii="Arial" w:hAnsi="Arial"/>
                <w:sz w:val="18"/>
              </w:rPr>
              <w:t xml:space="preserve">1.8328</w:t>
            </w:r>
          </w:p>
        </w:tc>
        <w:tc>
          <w:tcPr>
            <w:tcW w:type="dxa" w:w="1440"/>
          </w:tcPr>
          <w:p>
            <w:pPr>
              <w:jc w:val="center"/>
            </w:pPr>
            <w:r>
              <w:rPr>
                <w:rFonts w:ascii="Arial" w:hAnsi="Arial"/>
                <w:sz w:val="18"/>
              </w:rPr>
              <w:t xml:space="preserve">1.8300</w:t>
            </w:r>
          </w:p>
        </w:tc>
        <w:tc>
          <w:tcPr>
            <w:tcW w:type="dxa" w:w="1440"/>
          </w:tcPr>
          <w:p>
            <w:pPr>
              <w:jc w:val="center"/>
            </w:pPr>
            <w:r>
              <w:rPr>
                <w:rFonts w:ascii="Arial" w:hAnsi="Arial"/>
                <w:sz w:val="18"/>
              </w:rPr>
              <w:t xml:space="preserve">1.4186</w:t>
            </w:r>
          </w:p>
        </w:tc>
        <w:tc>
          <w:tcPr>
            <w:tcW w:type="dxa" w:w="1440"/>
          </w:tcPr>
          <w:p>
            <w:pPr>
              <w:jc w:val="center"/>
            </w:pPr>
            <w:r>
              <w:rPr>
                <w:rFonts w:ascii="Arial" w:hAnsi="Arial"/>
                <w:sz w:val="18"/>
              </w:rPr>
              <w:t xml:space="preserve">724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Shivam Logistics 379 Private Limited</w:t>
            </w:r>
          </w:p>
        </w:tc>
        <w:tc>
          <w:tcPr>
            <w:tcW w:type="dxa" w:w="1440"/>
          </w:tcPr>
          <w:p>
            <w:pPr>
              <w:jc w:val="center"/>
            </w:pPr>
            <w:r>
              <w:rPr>
                <w:rFonts w:ascii="Arial" w:hAnsi="Arial"/>
                <w:sz w:val="18"/>
              </w:rPr>
              <w:t xml:space="preserve">₹24.52 Cr</w:t>
            </w:r>
          </w:p>
        </w:tc>
        <w:tc>
          <w:tcPr>
            <w:tcW w:type="dxa" w:w="1440"/>
          </w:tcPr>
          <w:p>
            <w:pPr>
              <w:jc w:val="center"/>
            </w:pPr>
            <w:r>
              <w:rPr>
                <w:rFonts w:ascii="Arial" w:hAnsi="Arial"/>
                <w:sz w:val="18"/>
              </w:rPr>
              <w:t xml:space="preserve">1.9284</w:t>
            </w:r>
          </w:p>
        </w:tc>
        <w:tc>
          <w:tcPr>
            <w:tcW w:type="dxa" w:w="1440"/>
          </w:tcPr>
          <w:p>
            <w:pPr>
              <w:jc w:val="center"/>
            </w:pPr>
            <w:r>
              <w:rPr>
                <w:rFonts w:ascii="Arial" w:hAnsi="Arial"/>
                <w:sz w:val="18"/>
              </w:rPr>
              <w:t xml:space="preserve">2.8136</w:t>
            </w:r>
          </w:p>
        </w:tc>
        <w:tc>
          <w:tcPr>
            <w:tcW w:type="dxa" w:w="1440"/>
          </w:tcPr>
          <w:p>
            <w:pPr>
              <w:jc w:val="center"/>
            </w:pPr>
            <w:r>
              <w:rPr>
                <w:rFonts w:ascii="Arial" w:hAnsi="Arial"/>
                <w:sz w:val="18"/>
              </w:rPr>
              <w:t xml:space="preserve">0.8170</w:t>
            </w:r>
          </w:p>
        </w:tc>
        <w:tc>
          <w:tcPr>
            <w:tcW w:type="dxa" w:w="1440"/>
          </w:tcPr>
          <w:p>
            <w:pPr>
              <w:jc w:val="center"/>
            </w:pPr>
            <w:r>
              <w:rPr>
                <w:rFonts w:ascii="Arial" w:hAnsi="Arial"/>
                <w:sz w:val="18"/>
              </w:rPr>
              <w:t xml:space="preserve">791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Vidya Logistics 957 LLP</w:t>
            </w:r>
          </w:p>
        </w:tc>
        <w:tc>
          <w:tcPr>
            <w:tcW w:type="dxa" w:w="1440"/>
          </w:tcPr>
          <w:p>
            <w:pPr>
              <w:jc w:val="center"/>
            </w:pPr>
            <w:r>
              <w:rPr>
                <w:rFonts w:ascii="Arial" w:hAnsi="Arial"/>
                <w:sz w:val="18"/>
              </w:rPr>
              <w:t xml:space="preserve">₹26.00 Cr</w:t>
            </w:r>
          </w:p>
        </w:tc>
        <w:tc>
          <w:tcPr>
            <w:tcW w:type="dxa" w:w="1440"/>
          </w:tcPr>
          <w:p>
            <w:pPr>
              <w:jc w:val="center"/>
            </w:pPr>
            <w:r>
              <w:rPr>
                <w:rFonts w:ascii="Arial" w:hAnsi="Arial"/>
                <w:sz w:val="18"/>
              </w:rPr>
              <w:t xml:space="preserve">1.0360</w:t>
            </w:r>
          </w:p>
        </w:tc>
        <w:tc>
          <w:tcPr>
            <w:tcW w:type="dxa" w:w="1440"/>
          </w:tcPr>
          <w:p>
            <w:pPr>
              <w:jc w:val="center"/>
            </w:pPr>
            <w:r>
              <w:rPr>
                <w:rFonts w:ascii="Arial" w:hAnsi="Arial"/>
                <w:sz w:val="18"/>
              </w:rPr>
              <w:t xml:space="preserve">0.5417</w:t>
            </w:r>
          </w:p>
        </w:tc>
        <w:tc>
          <w:tcPr>
            <w:tcW w:type="dxa" w:w="1440"/>
          </w:tcPr>
          <w:p>
            <w:pPr>
              <w:jc w:val="center"/>
            </w:pPr>
            <w:r>
              <w:rPr>
                <w:rFonts w:ascii="Arial" w:hAnsi="Arial"/>
                <w:sz w:val="18"/>
              </w:rPr>
              <w:t xml:space="preserve">2.0340</w:t>
            </w:r>
          </w:p>
        </w:tc>
        <w:tc>
          <w:tcPr>
            <w:tcW w:type="dxa" w:w="1440"/>
          </w:tcPr>
          <w:p>
            <w:pPr>
              <w:jc w:val="center"/>
            </w:pPr>
            <w:r>
              <w:rPr>
                <w:rFonts w:ascii="Arial" w:hAnsi="Arial"/>
                <w:sz w:val="18"/>
              </w:rPr>
              <w:t xml:space="preserve">720</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Vanguard Enterprises 811 LLP</w:t>
            </w:r>
          </w:p>
        </w:tc>
        <w:tc>
          <w:tcPr>
            <w:tcW w:type="dxa" w:w="1440"/>
          </w:tcPr>
          <w:p>
            <w:pPr>
              <w:jc w:val="center"/>
            </w:pPr>
            <w:r>
              <w:rPr>
                <w:rFonts w:ascii="Arial" w:hAnsi="Arial"/>
                <w:sz w:val="18"/>
              </w:rPr>
              <w:t xml:space="preserve">₹26.08 Cr</w:t>
            </w:r>
          </w:p>
        </w:tc>
        <w:tc>
          <w:tcPr>
            <w:tcW w:type="dxa" w:w="1440"/>
          </w:tcPr>
          <w:p>
            <w:pPr>
              <w:jc w:val="center"/>
            </w:pPr>
            <w:r>
              <w:rPr>
                <w:rFonts w:ascii="Arial" w:hAnsi="Arial"/>
                <w:sz w:val="18"/>
              </w:rPr>
              <w:t xml:space="preserve">0.9189</w:t>
            </w:r>
          </w:p>
        </w:tc>
        <w:tc>
          <w:tcPr>
            <w:tcW w:type="dxa" w:w="1440"/>
          </w:tcPr>
          <w:p>
            <w:pPr>
              <w:jc w:val="center"/>
            </w:pPr>
            <w:r>
              <w:rPr>
                <w:rFonts w:ascii="Arial" w:hAnsi="Arial"/>
                <w:sz w:val="18"/>
              </w:rPr>
              <w:t xml:space="preserve">0.2271</w:t>
            </w:r>
          </w:p>
        </w:tc>
        <w:tc>
          <w:tcPr>
            <w:tcW w:type="dxa" w:w="1440"/>
          </w:tcPr>
          <w:p>
            <w:pPr>
              <w:jc w:val="center"/>
            </w:pPr>
            <w:r>
              <w:rPr>
                <w:rFonts w:ascii="Arial" w:hAnsi="Arial"/>
                <w:sz w:val="18"/>
              </w:rPr>
              <w:t xml:space="preserve">2.7960</w:t>
            </w:r>
          </w:p>
        </w:tc>
        <w:tc>
          <w:tcPr>
            <w:tcW w:type="dxa" w:w="1440"/>
          </w:tcPr>
          <w:p>
            <w:pPr>
              <w:jc w:val="center"/>
            </w:pPr>
            <w:r>
              <w:rPr>
                <w:rFonts w:ascii="Arial" w:hAnsi="Arial"/>
                <w:sz w:val="18"/>
              </w:rPr>
              <w:t xml:space="preserve">590</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1.4247</w:t>
            </w:r>
          </w:p>
        </w:tc>
        <w:tc>
          <w:tcPr>
            <w:tcW w:type="dxa" w:w="1440"/>
            <w:shd w:fill="F3F4F6"/>
          </w:tcPr>
          <w:p>
            <w:pPr>
              <w:jc w:val="center"/>
            </w:pPr>
            <w:r>
              <w:rPr>
                <w:rFonts w:ascii="Arial" w:hAnsi="Arial"/>
                <w:b/>
                <w:sz w:val="18"/>
              </w:rPr>
              <w:t xml:space="preserve">1.2502</w:t>
            </w:r>
          </w:p>
        </w:tc>
        <w:tc>
          <w:tcPr>
            <w:tcW w:type="dxa" w:w="1440"/>
            <w:shd w:fill="F3F4F6"/>
          </w:tcPr>
          <w:p>
            <w:pPr>
              <w:jc w:val="center"/>
            </w:pPr>
            <w:r>
              <w:rPr>
                <w:rFonts w:ascii="Arial" w:hAnsi="Arial"/>
                <w:b/>
                <w:sz w:val="18"/>
              </w:rPr>
              <w:t xml:space="preserve">1.8831</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the results indicate that the decision is fair and unbiased, with zero flips reported. The bias testing suggests that the AI model is robust and reliable, with no evidence of discriminatory practices or unfair treatment.</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suggest that the company's management is stable and experienced, with a clear understanding of the business and its risks. The discussion also highlighted the company's commitment to maintaining a low-risk profile and complying with regulatory requirements. Overall, the personal discussion transcript supports the 'APPROVE' decision and suggests a positive outlook for the company.</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