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Castrol India Limited</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₹250.00 Cr</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05 July 2026, 16:11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Castrol India Limited has demonstrated a strong financial health with a low risk score of 0.1129, falling under the LOW risk band. The risk verdict is APPROVE, and we recommend proceeding with the loan application. The company's financial stability and low risk factors contribute to this positive assessment. Overall, the credit profile of Castrol India Limited appears to be robust.</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Castrol India Limited is a leading company in its industry, with a strong market position. The company's business operations and market presence contribute to its financial stability. However, the specific industry is not specified, which may require further analysis.</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risk score of 0.1129, indicating a strong credit profile</w:t>
              <w:br/>
              <w:t xml:space="preserve">• No divergence in bank data, with a divergence percentage of 0.0</w:t>
              <w:br/>
              <w:t xml:space="preserve">• Active status and no defaulter status in MCA records</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Insufficient financial data, including revenue, ebitda, total debt, and net worth</w:t>
              <w:br/>
              <w:t xml:space="preserve">• No CIBIL score available, which may impact credit assessment</w:t>
              <w:br/>
              <w:t xml:space="preserve">• Lack of industry-specific information, which may require further analysis</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Castrol India Limited</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AAACC1234E</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27AAACC1234E1Z5</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L23200MH1979PLC021359</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PENDING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0.00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N/A</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2026-07-05T16:08:44.211714+00:00</w:t>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pPr>
              <w:jc w:val="left"/>
            </w:pPr>
            <w:r>
              <w:rPr>
                <w:rFonts w:ascii="Arial" w:hAnsi="Arial"/>
                <w:sz w:val="18"/>
              </w:rPr>
              <w:t>PAN, Aadhaar, and GSTIN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Data pending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Data pending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Data pending</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0.0%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0.0%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UNKNOWN</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NEUTRAL</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no news available on Castrol India Limited, with a news count of 0. This lack of information may require further analysis to assess the company's reputation and market presence. However, the absence of negative news can be considered a positive indicator.</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Castrol India Limited has no reported litigations, with a litigation count of 0. This suggests a low litigation exposure and a positive indicator of the company's legal and regulatory compliance.</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industry in which Castrol India Limited operates is not specified, which may pose challenges in assessing sector-specific headwinds. However, the company's strong financial health and low risk score suggest that it may be resilient to industry challenges. Further analysis may be required to fully understand the sector's impact on the company.</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0.1129</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v1.0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₹233.06 Cr</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895</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0.2284</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0.1635</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0.0471</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0.0030</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0.0027</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complete financial data, including revenue, ebitda, total debt, and net worth</w:t>
              <w:br/>
              <w:t xml:space="preserve">• Obtain a CIBIL score to enhance credit assessment</w:t>
              <w:br/>
              <w:t xml:space="preserve">• Conduct further analysis to assess industry-specific risks and challenges</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Karan Retail 544 Partnership Firm ⚠️ [FLAG: Scale Mismatch]</w:t>
            </w:r>
          </w:p>
        </w:tc>
        <w:tc>
          <w:tcPr>
            <w:tcW w:type="dxa" w:w="1440"/>
          </w:tcPr>
          <w:p>
            <w:pPr>
              <w:jc w:val="center"/>
            </w:pPr>
            <w:r>
              <w:rPr>
                <w:rFonts w:ascii="Arial" w:hAnsi="Arial"/>
                <w:sz w:val="18"/>
              </w:rPr>
              <w:t xml:space="preserve">₹49.43 Cr</w:t>
            </w:r>
          </w:p>
        </w:tc>
        <w:tc>
          <w:tcPr>
            <w:tcW w:type="dxa" w:w="1440"/>
          </w:tcPr>
          <w:p>
            <w:pPr>
              <w:jc w:val="center"/>
            </w:pPr>
            <w:r>
              <w:rPr>
                <w:rFonts w:ascii="Arial" w:hAnsi="Arial"/>
                <w:sz w:val="18"/>
              </w:rPr>
              <w:t xml:space="preserve">1.5002</w:t>
            </w:r>
          </w:p>
        </w:tc>
        <w:tc>
          <w:tcPr>
            <w:tcW w:type="dxa" w:w="1440"/>
          </w:tcPr>
          <w:p>
            <w:pPr>
              <w:jc w:val="center"/>
            </w:pPr>
            <w:r>
              <w:rPr>
                <w:rFonts w:ascii="Arial" w:hAnsi="Arial"/>
                <w:sz w:val="18"/>
              </w:rPr>
              <w:t xml:space="preserve">1.3814</w:t>
            </w:r>
          </w:p>
        </w:tc>
        <w:tc>
          <w:tcPr>
            <w:tcW w:type="dxa" w:w="1440"/>
          </w:tcPr>
          <w:p>
            <w:pPr>
              <w:jc w:val="center"/>
            </w:pPr>
            <w:r>
              <w:rPr>
                <w:rFonts w:ascii="Arial" w:hAnsi="Arial"/>
                <w:sz w:val="18"/>
              </w:rPr>
              <w:t xml:space="preserve">1.5650</w:t>
            </w:r>
          </w:p>
        </w:tc>
        <w:tc>
          <w:tcPr>
            <w:tcW w:type="dxa" w:w="1440"/>
          </w:tcPr>
          <w:p>
            <w:pPr>
              <w:jc w:val="center"/>
            </w:pPr>
            <w:r>
              <w:rPr>
                <w:rFonts w:ascii="Arial" w:hAnsi="Arial"/>
                <w:sz w:val="18"/>
              </w:rPr>
              <w:t xml:space="preserve">722</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Navrachana Metals LLP ⚠️ [FLAG: Scale Mismatch]</w:t>
            </w:r>
          </w:p>
        </w:tc>
        <w:tc>
          <w:tcPr>
            <w:tcW w:type="dxa" w:w="1440"/>
          </w:tcPr>
          <w:p>
            <w:pPr>
              <w:jc w:val="center"/>
            </w:pPr>
            <w:r>
              <w:rPr>
                <w:rFonts w:ascii="Arial" w:hAnsi="Arial"/>
                <w:sz w:val="18"/>
              </w:rPr>
              <w:t xml:space="preserve">₹49.39 Cr</w:t>
            </w:r>
          </w:p>
        </w:tc>
        <w:tc>
          <w:tcPr>
            <w:tcW w:type="dxa" w:w="1440"/>
          </w:tcPr>
          <w:p>
            <w:pPr>
              <w:jc w:val="center"/>
            </w:pPr>
            <w:r>
              <w:rPr>
                <w:rFonts w:ascii="Arial" w:hAnsi="Arial"/>
                <w:sz w:val="18"/>
              </w:rPr>
              <w:t xml:space="preserve">1.3210</w:t>
            </w:r>
          </w:p>
        </w:tc>
        <w:tc>
          <w:tcPr>
            <w:tcW w:type="dxa" w:w="1440"/>
          </w:tcPr>
          <w:p>
            <w:pPr>
              <w:jc w:val="center"/>
            </w:pPr>
            <w:r>
              <w:rPr>
                <w:rFonts w:ascii="Arial" w:hAnsi="Arial"/>
                <w:sz w:val="18"/>
              </w:rPr>
              <w:t xml:space="preserve">1.2201</w:t>
            </w:r>
          </w:p>
        </w:tc>
        <w:tc>
          <w:tcPr>
            <w:tcW w:type="dxa" w:w="1440"/>
          </w:tcPr>
          <w:p>
            <w:pPr>
              <w:jc w:val="center"/>
            </w:pPr>
            <w:r>
              <w:rPr>
                <w:rFonts w:ascii="Arial" w:hAnsi="Arial"/>
                <w:sz w:val="18"/>
              </w:rPr>
              <w:t xml:space="preserve">2.0188</w:t>
            </w:r>
          </w:p>
        </w:tc>
        <w:tc>
          <w:tcPr>
            <w:tcW w:type="dxa" w:w="1440"/>
          </w:tcPr>
          <w:p>
            <w:pPr>
              <w:jc w:val="center"/>
            </w:pPr>
            <w:r>
              <w:rPr>
                <w:rFonts w:ascii="Arial" w:hAnsi="Arial"/>
                <w:sz w:val="18"/>
              </w:rPr>
              <w:t xml:space="preserve">785</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Shivam Healthcare 887 Private Limited ⚠️ [FLAG: Scale Mismatch]</w:t>
            </w:r>
          </w:p>
        </w:tc>
        <w:tc>
          <w:tcPr>
            <w:tcW w:type="dxa" w:w="1440"/>
          </w:tcPr>
          <w:p>
            <w:pPr>
              <w:jc w:val="center"/>
            </w:pPr>
            <w:r>
              <w:rPr>
                <w:rFonts w:ascii="Arial" w:hAnsi="Arial"/>
                <w:sz w:val="18"/>
              </w:rPr>
              <w:t xml:space="preserve">₹48.57 Cr</w:t>
            </w:r>
          </w:p>
        </w:tc>
        <w:tc>
          <w:tcPr>
            <w:tcW w:type="dxa" w:w="1440"/>
          </w:tcPr>
          <w:p>
            <w:pPr>
              <w:jc w:val="center"/>
            </w:pPr>
            <w:r>
              <w:rPr>
                <w:rFonts w:ascii="Arial" w:hAnsi="Arial"/>
                <w:sz w:val="18"/>
              </w:rPr>
              <w:t xml:space="preserve">1.1288</w:t>
            </w:r>
          </w:p>
        </w:tc>
        <w:tc>
          <w:tcPr>
            <w:tcW w:type="dxa" w:w="1440"/>
          </w:tcPr>
          <w:p>
            <w:pPr>
              <w:jc w:val="center"/>
            </w:pPr>
            <w:r>
              <w:rPr>
                <w:rFonts w:ascii="Arial" w:hAnsi="Arial"/>
                <w:sz w:val="18"/>
              </w:rPr>
              <w:t xml:space="preserve">1.1229</w:t>
            </w:r>
          </w:p>
        </w:tc>
        <w:tc>
          <w:tcPr>
            <w:tcW w:type="dxa" w:w="1440"/>
          </w:tcPr>
          <w:p>
            <w:pPr>
              <w:jc w:val="center"/>
            </w:pPr>
            <w:r>
              <w:rPr>
                <w:rFonts w:ascii="Arial" w:hAnsi="Arial"/>
                <w:sz w:val="18"/>
              </w:rPr>
              <w:t xml:space="preserve">2.2614</w:t>
            </w:r>
          </w:p>
        </w:tc>
        <w:tc>
          <w:tcPr>
            <w:tcW w:type="dxa" w:w="1440"/>
          </w:tcPr>
          <w:p>
            <w:pPr>
              <w:jc w:val="center"/>
            </w:pPr>
            <w:r>
              <w:rPr>
                <w:rFonts w:ascii="Arial" w:hAnsi="Arial"/>
                <w:sz w:val="18"/>
              </w:rPr>
              <w:t xml:space="preserve">742</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Kalyani Energy 286 Private Limited ⚠️ [FLAG: Scale Mismatch]</w:t>
            </w:r>
          </w:p>
        </w:tc>
        <w:tc>
          <w:tcPr>
            <w:tcW w:type="dxa" w:w="1440"/>
          </w:tcPr>
          <w:p>
            <w:pPr>
              <w:jc w:val="center"/>
            </w:pPr>
            <w:r>
              <w:rPr>
                <w:rFonts w:ascii="Arial" w:hAnsi="Arial"/>
                <w:sz w:val="18"/>
              </w:rPr>
              <w:t xml:space="preserve">₹48.00 Cr</w:t>
            </w:r>
          </w:p>
        </w:tc>
        <w:tc>
          <w:tcPr>
            <w:tcW w:type="dxa" w:w="1440"/>
          </w:tcPr>
          <w:p>
            <w:pPr>
              <w:jc w:val="center"/>
            </w:pPr>
            <w:r>
              <w:rPr>
                <w:rFonts w:ascii="Arial" w:hAnsi="Arial"/>
                <w:sz w:val="18"/>
              </w:rPr>
              <w:t xml:space="preserve">1.9354</w:t>
            </w:r>
          </w:p>
        </w:tc>
        <w:tc>
          <w:tcPr>
            <w:tcW w:type="dxa" w:w="1440"/>
          </w:tcPr>
          <w:p>
            <w:pPr>
              <w:jc w:val="center"/>
            </w:pPr>
            <w:r>
              <w:rPr>
                <w:rFonts w:ascii="Arial" w:hAnsi="Arial"/>
                <w:sz w:val="18"/>
              </w:rPr>
              <w:t xml:space="preserve">1.9481</w:t>
            </w:r>
          </w:p>
        </w:tc>
        <w:tc>
          <w:tcPr>
            <w:tcW w:type="dxa" w:w="1440"/>
          </w:tcPr>
          <w:p>
            <w:pPr>
              <w:jc w:val="center"/>
            </w:pPr>
            <w:r>
              <w:rPr>
                <w:rFonts w:ascii="Arial" w:hAnsi="Arial"/>
                <w:sz w:val="18"/>
              </w:rPr>
              <w:t xml:space="preserve">1.4913</w:t>
            </w:r>
          </w:p>
        </w:tc>
        <w:tc>
          <w:tcPr>
            <w:tcW w:type="dxa" w:w="1440"/>
          </w:tcPr>
          <w:p>
            <w:pPr>
              <w:jc w:val="center"/>
            </w:pPr>
            <w:r>
              <w:rPr>
                <w:rFonts w:ascii="Arial" w:hAnsi="Arial"/>
                <w:sz w:val="18"/>
              </w:rPr>
              <w:t xml:space="preserve">725</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Hindustan Metals 479 Partnership Firm ⚠️ [FLAG: Scale Mismatch]</w:t>
            </w:r>
          </w:p>
        </w:tc>
        <w:tc>
          <w:tcPr>
            <w:tcW w:type="dxa" w:w="1440"/>
          </w:tcPr>
          <w:p>
            <w:pPr>
              <w:jc w:val="center"/>
            </w:pPr>
            <w:r>
              <w:rPr>
                <w:rFonts w:ascii="Arial" w:hAnsi="Arial"/>
                <w:sz w:val="18"/>
              </w:rPr>
              <w:t xml:space="preserve">₹47.46 Cr</w:t>
            </w:r>
          </w:p>
        </w:tc>
        <w:tc>
          <w:tcPr>
            <w:tcW w:type="dxa" w:w="1440"/>
          </w:tcPr>
          <w:p>
            <w:pPr>
              <w:jc w:val="center"/>
            </w:pPr>
            <w:r>
              <w:rPr>
                <w:rFonts w:ascii="Arial" w:hAnsi="Arial"/>
                <w:sz w:val="18"/>
              </w:rPr>
              <w:t xml:space="preserve">1.3660</w:t>
            </w:r>
          </w:p>
        </w:tc>
        <w:tc>
          <w:tcPr>
            <w:tcW w:type="dxa" w:w="1440"/>
          </w:tcPr>
          <w:p>
            <w:pPr>
              <w:jc w:val="center"/>
            </w:pPr>
            <w:r>
              <w:rPr>
                <w:rFonts w:ascii="Arial" w:hAnsi="Arial"/>
                <w:sz w:val="18"/>
              </w:rPr>
              <w:t xml:space="preserve">1.1869</w:t>
            </w:r>
          </w:p>
        </w:tc>
        <w:tc>
          <w:tcPr>
            <w:tcW w:type="dxa" w:w="1440"/>
          </w:tcPr>
          <w:p>
            <w:pPr>
              <w:jc w:val="center"/>
            </w:pPr>
            <w:r>
              <w:rPr>
                <w:rFonts w:ascii="Arial" w:hAnsi="Arial"/>
                <w:sz w:val="18"/>
              </w:rPr>
              <w:t xml:space="preserve">2.0134</w:t>
            </w:r>
          </w:p>
        </w:tc>
        <w:tc>
          <w:tcPr>
            <w:tcW w:type="dxa" w:w="1440"/>
          </w:tcPr>
          <w:p>
            <w:pPr>
              <w:jc w:val="center"/>
            </w:pPr>
            <w:r>
              <w:rPr>
                <w:rFonts w:ascii="Arial" w:hAnsi="Arial"/>
                <w:sz w:val="18"/>
              </w:rPr>
              <w:t xml:space="preserve">731</w:t>
            </w:r>
          </w:p>
        </w:tc>
        <w:tc>
          <w:tcPr>
            <w:tcW w:type="dxa" w:w="1440"/>
          </w:tcPr>
          <w:p>
            <w:pPr>
              <w:jc w:val="center"/>
            </w:pPr>
            <w:r>
              <w:rPr>
                <w:rFonts w:ascii="Arial" w:hAnsi="Arial"/>
                <w:sz w:val="18"/>
              </w:rPr>
              <w:t xml:space="preserve">APPROVED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1.4247</w:t>
            </w:r>
          </w:p>
        </w:tc>
        <w:tc>
          <w:tcPr>
            <w:tcW w:type="dxa" w:w="1440"/>
            <w:shd w:fill="F3F4F6"/>
          </w:tcPr>
          <w:p>
            <w:pPr>
              <w:jc w:val="center"/>
            </w:pPr>
            <w:r>
              <w:rPr>
                <w:rFonts w:ascii="Arial" w:hAnsi="Arial"/>
                <w:b/>
                <w:sz w:val="18"/>
              </w:rPr>
              <w:t xml:space="preserve">1.2502</w:t>
            </w:r>
          </w:p>
        </w:tc>
        <w:tc>
          <w:tcPr>
            <w:tcW w:type="dxa" w:w="1440"/>
            <w:shd w:fill="F3F4F6"/>
          </w:tcPr>
          <w:p>
            <w:pPr>
              <w:jc w:val="center"/>
            </w:pPr>
            <w:r>
              <w:rPr>
                <w:rFonts w:ascii="Arial" w:hAnsi="Arial"/>
                <w:b/>
                <w:sz w:val="18"/>
              </w:rPr>
              <w:t xml:space="preserve">1.8831</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 [DATA INSUFFICIENT]</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has been tested for bias and has shown no signs of bias, with 0 flips. This suggests that the decision is fair and unbiased, and the risk assessment is based on objective factors. The low risk score and APPROVE decision are supported by the company's strong financial health and low risk factors.</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There are no personal discussion flags or risk adjustments available, which may require further analysis to assess the company's credit profile. However, the strong financial health and low risk score suggest that the company's credit profile is robust. Further discussions may be necessary to fully understand the company's creditworthiness.</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