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Matrix Automotive 338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₹10.50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03 July 2026, 13:39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Matrix Automotive 338 Partnership Firm has a low risk score of 0.07 and is approved for the loan. The company's financial health is stable, with a debt service coverage ratio (DSCR) of 1.3653 and an interest coverage ratio (ICR) of 1.1666. The risk verdict is LOW, and we recommend approval of the loan. The company's leverage is 1.3888, which is within acceptable limits.</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Matrix Automotive 338 Partnership Firm operates in the Electrical Equipment industry. The company's market position is not well-established, but it has a stable financial profile. The company's GST status is OK, with a discrepancy percentage of 1.16, indicating a low risk of tax evasion.</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0.07</w:t>
              <w:br/>
              <w:t xml:space="preserve">• Stable financial health with a DSCR of 1.3653 and an ICR of 1.1666</w:t>
              <w:br/>
              <w:t xml:space="preserve">• Low GST discrepancy percentage of 1.16</w:t>
              <w:br/>
              <w:t xml:space="preserve">• No litigations or circular trades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NO</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Matrix Automotive 338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QAXFM7352Y</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09QAXFM7352Y6Z0</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U50101KA2010PTC056789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Matrix Automotive 338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matrix.automotive@gmail.com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080-12345678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No. 12, 1st Main Road, Bangalore - 560001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 '07894561']</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₹12.50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1.3653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1.1666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1.3888</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6.3%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1.2%</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₹100.00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4.2%</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₹30.86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Matrix Automotive 338 Partnership Firm, with only one news article found. The sentiment of the news is not available, but the lack of news coverage may indicate a low-risk profile. However, more information is needed to confirm this.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Matrix Automotive 338 Partnership Firm has no litigations, which is a positive indicator of its creditworthiness. The company's low risk score and stable financial health also suggest a low likelihood of future litigations.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Electrical Equipment industry is subject to various headwinds, including fluctuations in demand and supply chain disruptions. However, Matrix Automotive 338 Partnership Firm's stable financial profile and low risk score suggest that it is well-positioned to navigate these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0.0700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₹29.70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878</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0.1186</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0.0898</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0.0586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0.0036</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0.0032</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revenue and ebitda data to improve financial transparency</w:t>
              <w:br/>
              <w:t xml:space="preserve">• Update MCA status to reduce uncertainty</w:t>
              <w:br/>
              <w:t xml:space="preserve">• Provide information on net worth and total debt to improve credit assessment</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Zenith Logistics 529 LLP</w:t>
            </w:r>
          </w:p>
        </w:tc>
        <w:tc>
          <w:tcPr>
            <w:tcW w:type="dxa" w:w="1440"/>
          </w:tcPr>
          <w:p>
            <w:pPr>
              <w:jc w:val="center"/>
            </w:pPr>
            <w:r>
              <w:rPr>
                <w:rFonts w:ascii="Arial" w:hAnsi="Arial"/>
                <w:sz w:val="18"/>
              </w:rPr>
              <w:t xml:space="preserve">₹30.74 Lakh</w:t>
            </w:r>
          </w:p>
        </w:tc>
        <w:tc>
          <w:tcPr>
            <w:tcW w:type="dxa" w:w="1440"/>
          </w:tcPr>
          <w:p>
            <w:pPr>
              <w:jc w:val="center"/>
            </w:pPr>
            <w:r>
              <w:rPr>
                <w:rFonts w:ascii="Arial" w:hAnsi="Arial"/>
                <w:sz w:val="18"/>
              </w:rPr>
              <w:t xml:space="preserve">1.5768</w:t>
            </w:r>
          </w:p>
        </w:tc>
        <w:tc>
          <w:tcPr>
            <w:tcW w:type="dxa" w:w="1440"/>
          </w:tcPr>
          <w:p>
            <w:pPr>
              <w:jc w:val="center"/>
            </w:pPr>
            <w:r>
              <w:rPr>
                <w:rFonts w:ascii="Arial" w:hAnsi="Arial"/>
                <w:sz w:val="18"/>
              </w:rPr>
              <w:t xml:space="preserve">0.5866</w:t>
            </w:r>
          </w:p>
        </w:tc>
        <w:tc>
          <w:tcPr>
            <w:tcW w:type="dxa" w:w="1440"/>
          </w:tcPr>
          <w:p>
            <w:pPr>
              <w:jc w:val="center"/>
            </w:pPr>
            <w:r>
              <w:rPr>
                <w:rFonts w:ascii="Arial" w:hAnsi="Arial"/>
                <w:sz w:val="18"/>
              </w:rPr>
              <w:t xml:space="preserve">1.4337</w:t>
            </w:r>
          </w:p>
        </w:tc>
        <w:tc>
          <w:tcPr>
            <w:tcW w:type="dxa" w:w="1440"/>
          </w:tcPr>
          <w:p>
            <w:pPr>
              <w:jc w:val="center"/>
            </w:pPr>
            <w:r>
              <w:rPr>
                <w:rFonts w:ascii="Arial" w:hAnsi="Arial"/>
                <w:sz w:val="18"/>
              </w:rPr>
              <w:t xml:space="preserve">753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Urja Builders 739 Private Limited</w:t>
            </w:r>
          </w:p>
        </w:tc>
        <w:tc>
          <w:tcPr>
            <w:tcW w:type="dxa" w:w="1440"/>
          </w:tcPr>
          <w:p>
            <w:pPr>
              <w:jc w:val="center"/>
            </w:pPr>
            <w:r>
              <w:rPr>
                <w:rFonts w:ascii="Arial" w:hAnsi="Arial"/>
                <w:sz w:val="18"/>
              </w:rPr>
              <w:t xml:space="preserve">₹31.51 Lakh</w:t>
            </w:r>
          </w:p>
        </w:tc>
        <w:tc>
          <w:tcPr>
            <w:tcW w:type="dxa" w:w="1440"/>
          </w:tcPr>
          <w:p>
            <w:pPr>
              <w:jc w:val="center"/>
            </w:pPr>
            <w:r>
              <w:rPr>
                <w:rFonts w:ascii="Arial" w:hAnsi="Arial"/>
                <w:sz w:val="18"/>
              </w:rPr>
              <w:t xml:space="preserve">0.2745</w:t>
            </w:r>
          </w:p>
        </w:tc>
        <w:tc>
          <w:tcPr>
            <w:tcW w:type="dxa" w:w="1440"/>
          </w:tcPr>
          <w:p>
            <w:pPr>
              <w:jc w:val="center"/>
            </w:pPr>
            <w:r>
              <w:rPr>
                <w:rFonts w:ascii="Arial" w:hAnsi="Arial"/>
                <w:sz w:val="18"/>
              </w:rPr>
              <w:t xml:space="preserve">0.0662</w:t>
            </w:r>
          </w:p>
        </w:tc>
        <w:tc>
          <w:tcPr>
            <w:tcW w:type="dxa" w:w="1440"/>
          </w:tcPr>
          <w:p>
            <w:pPr>
              <w:jc w:val="center"/>
            </w:pPr>
            <w:r>
              <w:rPr>
                <w:rFonts w:ascii="Arial" w:hAnsi="Arial"/>
                <w:sz w:val="18"/>
              </w:rPr>
              <w:t xml:space="preserve">3.3758</w:t>
            </w:r>
          </w:p>
        </w:tc>
        <w:tc>
          <w:tcPr>
            <w:tcW w:type="dxa" w:w="1440"/>
          </w:tcPr>
          <w:p>
            <w:pPr>
              <w:jc w:val="center"/>
            </w:pPr>
            <w:r>
              <w:rPr>
                <w:rFonts w:ascii="Arial" w:hAnsi="Arial"/>
                <w:sz w:val="18"/>
              </w:rPr>
              <w:t xml:space="preserve">685</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Navrachana Power LLP</w:t>
            </w:r>
          </w:p>
        </w:tc>
        <w:tc>
          <w:tcPr>
            <w:tcW w:type="dxa" w:w="1440"/>
          </w:tcPr>
          <w:p>
            <w:pPr>
              <w:jc w:val="center"/>
            </w:pPr>
            <w:r>
              <w:rPr>
                <w:rFonts w:ascii="Arial" w:hAnsi="Arial"/>
                <w:sz w:val="18"/>
              </w:rPr>
              <w:t xml:space="preserve">₹32.34 Lakh</w:t>
            </w:r>
          </w:p>
        </w:tc>
        <w:tc>
          <w:tcPr>
            <w:tcW w:type="dxa" w:w="1440"/>
          </w:tcPr>
          <w:p>
            <w:pPr>
              <w:jc w:val="center"/>
            </w:pPr>
            <w:r>
              <w:rPr>
                <w:rFonts w:ascii="Arial" w:hAnsi="Arial"/>
                <w:sz w:val="18"/>
              </w:rPr>
              <w:t xml:space="preserve">1.5201</w:t>
            </w:r>
          </w:p>
        </w:tc>
        <w:tc>
          <w:tcPr>
            <w:tcW w:type="dxa" w:w="1440"/>
          </w:tcPr>
          <w:p>
            <w:pPr>
              <w:jc w:val="center"/>
            </w:pPr>
            <w:r>
              <w:rPr>
                <w:rFonts w:ascii="Arial" w:hAnsi="Arial"/>
                <w:sz w:val="18"/>
              </w:rPr>
              <w:t xml:space="preserve">1.5659</w:t>
            </w:r>
          </w:p>
        </w:tc>
        <w:tc>
          <w:tcPr>
            <w:tcW w:type="dxa" w:w="1440"/>
          </w:tcPr>
          <w:p>
            <w:pPr>
              <w:jc w:val="center"/>
            </w:pPr>
            <w:r>
              <w:rPr>
                <w:rFonts w:ascii="Arial" w:hAnsi="Arial"/>
                <w:sz w:val="18"/>
              </w:rPr>
              <w:t xml:space="preserve">1.4918</w:t>
            </w:r>
          </w:p>
        </w:tc>
        <w:tc>
          <w:tcPr>
            <w:tcW w:type="dxa" w:w="1440"/>
          </w:tcPr>
          <w:p>
            <w:pPr>
              <w:jc w:val="center"/>
            </w:pPr>
            <w:r>
              <w:rPr>
                <w:rFonts w:ascii="Arial" w:hAnsi="Arial"/>
                <w:sz w:val="18"/>
              </w:rPr>
              <w:t xml:space="preserve">719</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Kalyani Enterprises 203 LLP</w:t>
            </w:r>
          </w:p>
        </w:tc>
        <w:tc>
          <w:tcPr>
            <w:tcW w:type="dxa" w:w="1440"/>
          </w:tcPr>
          <w:p>
            <w:pPr>
              <w:jc w:val="center"/>
            </w:pPr>
            <w:r>
              <w:rPr>
                <w:rFonts w:ascii="Arial" w:hAnsi="Arial"/>
                <w:sz w:val="18"/>
              </w:rPr>
              <w:t xml:space="preserve">₹29.47 Lakh</w:t>
            </w:r>
          </w:p>
        </w:tc>
        <w:tc>
          <w:tcPr>
            <w:tcW w:type="dxa" w:w="1440"/>
          </w:tcPr>
          <w:p>
            <w:pPr>
              <w:jc w:val="center"/>
            </w:pPr>
            <w:r>
              <w:rPr>
                <w:rFonts w:ascii="Arial" w:hAnsi="Arial"/>
                <w:sz w:val="18"/>
              </w:rPr>
              <w:t xml:space="preserve">1.4746</w:t>
            </w:r>
          </w:p>
        </w:tc>
        <w:tc>
          <w:tcPr>
            <w:tcW w:type="dxa" w:w="1440"/>
          </w:tcPr>
          <w:p>
            <w:pPr>
              <w:jc w:val="center"/>
            </w:pPr>
            <w:r>
              <w:rPr>
                <w:rFonts w:ascii="Arial" w:hAnsi="Arial"/>
                <w:sz w:val="18"/>
              </w:rPr>
              <w:t xml:space="preserve">1.4151</w:t>
            </w:r>
          </w:p>
        </w:tc>
        <w:tc>
          <w:tcPr>
            <w:tcW w:type="dxa" w:w="1440"/>
          </w:tcPr>
          <w:p>
            <w:pPr>
              <w:jc w:val="center"/>
            </w:pPr>
            <w:r>
              <w:rPr>
                <w:rFonts w:ascii="Arial" w:hAnsi="Arial"/>
                <w:sz w:val="18"/>
              </w:rPr>
              <w:t xml:space="preserve">0.9824</w:t>
            </w:r>
          </w:p>
        </w:tc>
        <w:tc>
          <w:tcPr>
            <w:tcW w:type="dxa" w:w="1440"/>
          </w:tcPr>
          <w:p>
            <w:pPr>
              <w:jc w:val="center"/>
            </w:pPr>
            <w:r>
              <w:rPr>
                <w:rFonts w:ascii="Arial" w:hAnsi="Arial"/>
                <w:sz w:val="18"/>
              </w:rPr>
              <w:t xml:space="preserve">800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Karan Industries 396 Partnership Firm</w:t>
            </w:r>
          </w:p>
        </w:tc>
        <w:tc>
          <w:tcPr>
            <w:tcW w:type="dxa" w:w="1440"/>
          </w:tcPr>
          <w:p>
            <w:pPr>
              <w:jc w:val="center"/>
            </w:pPr>
            <w:r>
              <w:rPr>
                <w:rFonts w:ascii="Arial" w:hAnsi="Arial"/>
                <w:sz w:val="18"/>
              </w:rPr>
              <w:t xml:space="preserve">₹33.48 Lakh</w:t>
            </w:r>
          </w:p>
        </w:tc>
        <w:tc>
          <w:tcPr>
            <w:tcW w:type="dxa" w:w="1440"/>
          </w:tcPr>
          <w:p>
            <w:pPr>
              <w:jc w:val="center"/>
            </w:pPr>
            <w:r>
              <w:rPr>
                <w:rFonts w:ascii="Arial" w:hAnsi="Arial"/>
                <w:sz w:val="18"/>
              </w:rPr>
              <w:t xml:space="preserve">1.7235</w:t>
            </w:r>
          </w:p>
        </w:tc>
        <w:tc>
          <w:tcPr>
            <w:tcW w:type="dxa" w:w="1440"/>
          </w:tcPr>
          <w:p>
            <w:pPr>
              <w:jc w:val="center"/>
            </w:pPr>
            <w:r>
              <w:rPr>
                <w:rFonts w:ascii="Arial" w:hAnsi="Arial"/>
                <w:sz w:val="18"/>
              </w:rPr>
              <w:t xml:space="preserve">1.3607</w:t>
            </w:r>
          </w:p>
        </w:tc>
        <w:tc>
          <w:tcPr>
            <w:tcW w:type="dxa" w:w="1440"/>
          </w:tcPr>
          <w:p>
            <w:pPr>
              <w:jc w:val="center"/>
            </w:pPr>
            <w:r>
              <w:rPr>
                <w:rFonts w:ascii="Arial" w:hAnsi="Arial"/>
                <w:sz w:val="18"/>
              </w:rPr>
              <w:t xml:space="preserve">1.4932</w:t>
            </w:r>
          </w:p>
        </w:tc>
        <w:tc>
          <w:tcPr>
            <w:tcW w:type="dxa" w:w="1440"/>
          </w:tcPr>
          <w:p>
            <w:pPr>
              <w:jc w:val="center"/>
            </w:pPr>
            <w:r>
              <w:rPr>
                <w:rFonts w:ascii="Arial" w:hAnsi="Arial"/>
                <w:sz w:val="18"/>
              </w:rPr>
              <w:t xml:space="preserve">818</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1.2863</w:t>
            </w:r>
          </w:p>
        </w:tc>
        <w:tc>
          <w:tcPr>
            <w:tcW w:type="dxa" w:w="1440"/>
            <w:shd w:fill="F3F4F6"/>
          </w:tcPr>
          <w:p>
            <w:pPr>
              <w:jc w:val="center"/>
            </w:pPr>
            <w:r>
              <w:rPr>
                <w:rFonts w:ascii="Arial" w:hAnsi="Arial"/>
                <w:b/>
                <w:sz w:val="18"/>
              </w:rPr>
              <w:t xml:space="preserve">1.0080</w:t>
            </w:r>
          </w:p>
        </w:tc>
        <w:tc>
          <w:tcPr>
            <w:tcW w:type="dxa" w:w="1440"/>
            <w:shd w:fill="F3F4F6"/>
          </w:tcPr>
          <w:p>
            <w:pPr>
              <w:jc w:val="center"/>
            </w:pPr>
            <w:r>
              <w:rPr>
                <w:rFonts w:ascii="Arial" w:hAnsi="Arial"/>
                <w:b/>
                <w:sz w:val="18"/>
              </w:rPr>
              <w:t xml:space="preserve">1.7854</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fair and unbiased, with no evidence of bias found in the testing process. The model's weights and contributions are well-distributed, and the top factors contributing to the risk score are reasonable.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but the risk assessment and credit profile suggest that the company is a low-risk borrower. The discussion with the promoter or management team may provide additional insights into the company's creditworthiness and risk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