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Surya Automotive 452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₹18.00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17:59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of Surya Automotive 452 LLP is currently pending due to insufficient data, with a risk verdict of DATA_INSUFFICIENT. The company's financial health cannot be accurately assessed, and therefore, a recommendation cannot be made at this time. The applicant needs to provide complete financial information and comply with document verification to proceed with the loan application. The bank's decision will be pending until the required information is submitted.</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Surya Automotive 452 LLP operates in the Tourism  Hospitality industry, but its market position and business activities are not clearly defined due to the lack of available data. The company's financial performance and creditworthiness cannot be evaluated without complete financial information. Further research is needed to understand the company's business model and market presence.</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The company has a valid PAN and is registered with the relevant authorities.</w:t>
              <w:br/>
              <w:t xml:space="preserve">• The GST status is OK, indicating compliance with tax regulations.</w:t>
              <w:br/>
              <w:t xml:space="preserve">• The company has not been identified as a defaulter in the MCA records.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The company's financial metrics, such as revenue and net worth, are missing or incomplete.</w:t>
              <w:br/>
              <w:t xml:space="preserve">• The PAN verification and document compliance are pending or non-compliant.</w:t>
              <w:br/>
              <w:t xml:space="preserve">• The bank reconciliation is pending or missing, which raises concerns about the company's financial management.</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Surya Automotive 452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AYOFS6487T</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33AYOFS6487T3Z0</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1.4333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2.3607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1.4898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13.5%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13.2%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1.4%</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3.1%</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₹22.05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about Surya Automotive 452 LLP, with only one news article found. The sentiment of this news is not clearly defined, and further research is needed to understand the company's reputation and market presence. The lack of news coverage may indicate a relatively low profile or limited market impact.</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reported litigations against Surya Automotive 452 LLP, which suggests a relatively low risk of legal disputes. However, the lack of complete financial information and pending document verification may still pose risks to the company's creditworthiness. Further evaluation is needed to assess the company's overall litigation exposure.</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Tourism  Hospitality industry is subject to various challenges, including regulatory changes, market fluctuations, and consumer behavior shifts. The company's ability to navigate these headwinds and maintain a stable financial position is uncertain due to the lack of complete financial information. The industry's overall performance and trends should be closely monitored to assess the company's creditworthiness.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DATA_INSUFFICIENT</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UNKNOWN</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₹0.00</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PAN verification is PENDING or FAILED.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Document compliance is PENDING or Non-Compliant.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Bank Reconciliation is PENDING or missing.</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Core financial metrics (Revenue/DSCR) are missing or 'Data pending'.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N/A</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N/A</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PAN verification is PENDING or FAILED.</w:t>
              <w:br/>
              <w:t xml:space="preserve">• Document compliance is PENDING or Non-Compliant.</w:t>
              <w:br/>
              <w:t xml:space="preserve">• Bank Reconciliation is PENDING or missing.</w:t>
              <w:br/>
              <w:t xml:space="preserve">• Core financial metrics (Revenue/DSCR) are missing or 'Data pending'.</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Complete document upload and verification before scoring.</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Vanguard Logistics 815 Private Limited</w:t>
            </w:r>
          </w:p>
        </w:tc>
        <w:tc>
          <w:tcPr>
            <w:tcW w:type="dxa" w:w="1440"/>
          </w:tcPr>
          <w:p>
            <w:pPr>
              <w:jc w:val="center"/>
            </w:pPr>
            <w:r>
              <w:rPr>
                <w:rFonts w:ascii="Arial" w:hAnsi="Arial"/>
                <w:sz w:val="18"/>
              </w:rPr>
              <w:t xml:space="preserve">₹25.59 Lakh</w:t>
            </w:r>
          </w:p>
        </w:tc>
        <w:tc>
          <w:tcPr>
            <w:tcW w:type="dxa" w:w="1440"/>
          </w:tcPr>
          <w:p>
            <w:pPr>
              <w:jc w:val="center"/>
            </w:pPr>
            <w:r>
              <w:rPr>
                <w:rFonts w:ascii="Arial" w:hAnsi="Arial"/>
                <w:sz w:val="18"/>
              </w:rPr>
              <w:t xml:space="preserve">1.7050</w:t>
            </w:r>
          </w:p>
        </w:tc>
        <w:tc>
          <w:tcPr>
            <w:tcW w:type="dxa" w:w="1440"/>
          </w:tcPr>
          <w:p>
            <w:pPr>
              <w:jc w:val="center"/>
            </w:pPr>
            <w:r>
              <w:rPr>
                <w:rFonts w:ascii="Arial" w:hAnsi="Arial"/>
                <w:sz w:val="18"/>
              </w:rPr>
              <w:t xml:space="preserve">3.0678</w:t>
            </w:r>
          </w:p>
        </w:tc>
        <w:tc>
          <w:tcPr>
            <w:tcW w:type="dxa" w:w="1440"/>
          </w:tcPr>
          <w:p>
            <w:pPr>
              <w:jc w:val="center"/>
            </w:pPr>
            <w:r>
              <w:rPr>
                <w:rFonts w:ascii="Arial" w:hAnsi="Arial"/>
                <w:sz w:val="18"/>
              </w:rPr>
              <w:t xml:space="preserve">1.4840</w:t>
            </w:r>
          </w:p>
        </w:tc>
        <w:tc>
          <w:tcPr>
            <w:tcW w:type="dxa" w:w="1440"/>
          </w:tcPr>
          <w:p>
            <w:pPr>
              <w:jc w:val="center"/>
            </w:pPr>
            <w:r>
              <w:rPr>
                <w:rFonts w:ascii="Arial" w:hAnsi="Arial"/>
                <w:sz w:val="18"/>
              </w:rPr>
              <w:t xml:space="preserve">714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Logistics 144 Partnership Firm</w:t>
            </w:r>
          </w:p>
        </w:tc>
        <w:tc>
          <w:tcPr>
            <w:tcW w:type="dxa" w:w="1440"/>
          </w:tcPr>
          <w:p>
            <w:pPr>
              <w:jc w:val="center"/>
            </w:pPr>
            <w:r>
              <w:rPr>
                <w:rFonts w:ascii="Arial" w:hAnsi="Arial"/>
                <w:sz w:val="18"/>
              </w:rPr>
              <w:t xml:space="preserve">₹25.90 Lakh</w:t>
            </w:r>
          </w:p>
        </w:tc>
        <w:tc>
          <w:tcPr>
            <w:tcW w:type="dxa" w:w="1440"/>
          </w:tcPr>
          <w:p>
            <w:pPr>
              <w:jc w:val="center"/>
            </w:pPr>
            <w:r>
              <w:rPr>
                <w:rFonts w:ascii="Arial" w:hAnsi="Arial"/>
                <w:sz w:val="18"/>
              </w:rPr>
              <w:t xml:space="preserve">1.4443</w:t>
            </w:r>
          </w:p>
        </w:tc>
        <w:tc>
          <w:tcPr>
            <w:tcW w:type="dxa" w:w="1440"/>
          </w:tcPr>
          <w:p>
            <w:pPr>
              <w:jc w:val="center"/>
            </w:pPr>
            <w:r>
              <w:rPr>
                <w:rFonts w:ascii="Arial" w:hAnsi="Arial"/>
                <w:sz w:val="18"/>
              </w:rPr>
              <w:t xml:space="preserve">1.3339</w:t>
            </w:r>
          </w:p>
        </w:tc>
        <w:tc>
          <w:tcPr>
            <w:tcW w:type="dxa" w:w="1440"/>
          </w:tcPr>
          <w:p>
            <w:pPr>
              <w:jc w:val="center"/>
            </w:pPr>
            <w:r>
              <w:rPr>
                <w:rFonts w:ascii="Arial" w:hAnsi="Arial"/>
                <w:sz w:val="18"/>
              </w:rPr>
              <w:t xml:space="preserve">2.1025</w:t>
            </w:r>
          </w:p>
        </w:tc>
        <w:tc>
          <w:tcPr>
            <w:tcW w:type="dxa" w:w="1440"/>
          </w:tcPr>
          <w:p>
            <w:pPr>
              <w:jc w:val="center"/>
            </w:pPr>
            <w:r>
              <w:rPr>
                <w:rFonts w:ascii="Arial" w:hAnsi="Arial"/>
                <w:sz w:val="18"/>
              </w:rPr>
              <w:t xml:space="preserve">698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Apex Retail 835 Partnership Firm</w:t>
            </w:r>
          </w:p>
        </w:tc>
        <w:tc>
          <w:tcPr>
            <w:tcW w:type="dxa" w:w="1440"/>
          </w:tcPr>
          <w:p>
            <w:pPr>
              <w:jc w:val="center"/>
            </w:pPr>
            <w:r>
              <w:rPr>
                <w:rFonts w:ascii="Arial" w:hAnsi="Arial"/>
                <w:sz w:val="18"/>
              </w:rPr>
              <w:t xml:space="preserve">₹25.91 Lakh</w:t>
            </w:r>
          </w:p>
        </w:tc>
        <w:tc>
          <w:tcPr>
            <w:tcW w:type="dxa" w:w="1440"/>
          </w:tcPr>
          <w:p>
            <w:pPr>
              <w:jc w:val="center"/>
            </w:pPr>
            <w:r>
              <w:rPr>
                <w:rFonts w:ascii="Arial" w:hAnsi="Arial"/>
                <w:sz w:val="18"/>
              </w:rPr>
              <w:t xml:space="preserve">1.2611</w:t>
            </w:r>
          </w:p>
        </w:tc>
        <w:tc>
          <w:tcPr>
            <w:tcW w:type="dxa" w:w="1440"/>
          </w:tcPr>
          <w:p>
            <w:pPr>
              <w:jc w:val="center"/>
            </w:pPr>
            <w:r>
              <w:rPr>
                <w:rFonts w:ascii="Arial" w:hAnsi="Arial"/>
                <w:sz w:val="18"/>
              </w:rPr>
              <w:t xml:space="preserve">1.0484</w:t>
            </w:r>
          </w:p>
        </w:tc>
        <w:tc>
          <w:tcPr>
            <w:tcW w:type="dxa" w:w="1440"/>
          </w:tcPr>
          <w:p>
            <w:pPr>
              <w:jc w:val="center"/>
            </w:pPr>
            <w:r>
              <w:rPr>
                <w:rFonts w:ascii="Arial" w:hAnsi="Arial"/>
                <w:sz w:val="18"/>
              </w:rPr>
              <w:t xml:space="preserve">2.0161</w:t>
            </w:r>
          </w:p>
        </w:tc>
        <w:tc>
          <w:tcPr>
            <w:tcW w:type="dxa" w:w="1440"/>
          </w:tcPr>
          <w:p>
            <w:pPr>
              <w:jc w:val="center"/>
            </w:pPr>
            <w:r>
              <w:rPr>
                <w:rFonts w:ascii="Arial" w:hAnsi="Arial"/>
                <w:sz w:val="18"/>
              </w:rPr>
              <w:t xml:space="preserve">764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Energy Private Limited</w:t>
            </w:r>
          </w:p>
        </w:tc>
        <w:tc>
          <w:tcPr>
            <w:tcW w:type="dxa" w:w="1440"/>
          </w:tcPr>
          <w:p>
            <w:pPr>
              <w:jc w:val="center"/>
            </w:pPr>
            <w:r>
              <w:rPr>
                <w:rFonts w:ascii="Arial" w:hAnsi="Arial"/>
                <w:sz w:val="18"/>
              </w:rPr>
              <w:t xml:space="preserve">₹30.19 Lakh</w:t>
            </w:r>
          </w:p>
        </w:tc>
        <w:tc>
          <w:tcPr>
            <w:tcW w:type="dxa" w:w="1440"/>
          </w:tcPr>
          <w:p>
            <w:pPr>
              <w:jc w:val="center"/>
            </w:pPr>
            <w:r>
              <w:rPr>
                <w:rFonts w:ascii="Arial" w:hAnsi="Arial"/>
                <w:sz w:val="18"/>
              </w:rPr>
              <w:t xml:space="preserve">0.9996</w:t>
            </w:r>
          </w:p>
        </w:tc>
        <w:tc>
          <w:tcPr>
            <w:tcW w:type="dxa" w:w="1440"/>
          </w:tcPr>
          <w:p>
            <w:pPr>
              <w:jc w:val="center"/>
            </w:pPr>
            <w:r>
              <w:rPr>
                <w:rFonts w:ascii="Arial" w:hAnsi="Arial"/>
                <w:sz w:val="18"/>
              </w:rPr>
              <w:t xml:space="preserve">0.9775</w:t>
            </w:r>
          </w:p>
        </w:tc>
        <w:tc>
          <w:tcPr>
            <w:tcW w:type="dxa" w:w="1440"/>
          </w:tcPr>
          <w:p>
            <w:pPr>
              <w:jc w:val="center"/>
            </w:pPr>
            <w:r>
              <w:rPr>
                <w:rFonts w:ascii="Arial" w:hAnsi="Arial"/>
                <w:sz w:val="18"/>
              </w:rPr>
              <w:t xml:space="preserve">2.8263</w:t>
            </w:r>
          </w:p>
        </w:tc>
        <w:tc>
          <w:tcPr>
            <w:tcW w:type="dxa" w:w="1440"/>
          </w:tcPr>
          <w:p>
            <w:pPr>
              <w:jc w:val="center"/>
            </w:pPr>
            <w:r>
              <w:rPr>
                <w:rFonts w:ascii="Arial" w:hAnsi="Arial"/>
                <w:sz w:val="18"/>
              </w:rPr>
              <w:t xml:space="preserve">671</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Aditya Chemicals 306 Partnership Firm</w:t>
            </w:r>
          </w:p>
        </w:tc>
        <w:tc>
          <w:tcPr>
            <w:tcW w:type="dxa" w:w="1440"/>
          </w:tcPr>
          <w:p>
            <w:pPr>
              <w:jc w:val="center"/>
            </w:pPr>
            <w:r>
              <w:rPr>
                <w:rFonts w:ascii="Arial" w:hAnsi="Arial"/>
                <w:sz w:val="18"/>
              </w:rPr>
              <w:t xml:space="preserve">₹30.61 Lakh</w:t>
            </w:r>
          </w:p>
        </w:tc>
        <w:tc>
          <w:tcPr>
            <w:tcW w:type="dxa" w:w="1440"/>
          </w:tcPr>
          <w:p>
            <w:pPr>
              <w:jc w:val="center"/>
            </w:pPr>
            <w:r>
              <w:rPr>
                <w:rFonts w:ascii="Arial" w:hAnsi="Arial"/>
                <w:sz w:val="18"/>
              </w:rPr>
              <w:t xml:space="preserve">1.1897</w:t>
            </w:r>
          </w:p>
        </w:tc>
        <w:tc>
          <w:tcPr>
            <w:tcW w:type="dxa" w:w="1440"/>
          </w:tcPr>
          <w:p>
            <w:pPr>
              <w:jc w:val="center"/>
            </w:pPr>
            <w:r>
              <w:rPr>
                <w:rFonts w:ascii="Arial" w:hAnsi="Arial"/>
                <w:sz w:val="18"/>
              </w:rPr>
              <w:t xml:space="preserve">1.0988</w:t>
            </w:r>
          </w:p>
        </w:tc>
        <w:tc>
          <w:tcPr>
            <w:tcW w:type="dxa" w:w="1440"/>
          </w:tcPr>
          <w:p>
            <w:pPr>
              <w:jc w:val="center"/>
            </w:pPr>
            <w:r>
              <w:rPr>
                <w:rFonts w:ascii="Arial" w:hAnsi="Arial"/>
                <w:sz w:val="18"/>
              </w:rPr>
              <w:t xml:space="preserve">1.6466</w:t>
            </w:r>
          </w:p>
        </w:tc>
        <w:tc>
          <w:tcPr>
            <w:tcW w:type="dxa" w:w="1440"/>
          </w:tcPr>
          <w:p>
            <w:pPr>
              <w:jc w:val="center"/>
            </w:pPr>
            <w:r>
              <w:rPr>
                <w:rFonts w:ascii="Arial" w:hAnsi="Arial"/>
                <w:sz w:val="18"/>
              </w:rPr>
              <w:t xml:space="preserve">815</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1.2915</w:t>
            </w:r>
          </w:p>
        </w:tc>
        <w:tc>
          <w:tcPr>
            <w:tcW w:type="dxa" w:w="1440"/>
            <w:shd w:fill="F3F4F6"/>
          </w:tcPr>
          <w:p>
            <w:pPr>
              <w:jc w:val="center"/>
            </w:pPr>
            <w:r>
              <w:rPr>
                <w:rFonts w:ascii="Arial" w:hAnsi="Arial"/>
                <w:b/>
                <w:sz w:val="18"/>
              </w:rPr>
              <w:t xml:space="preserve">1.4304</w:t>
            </w:r>
          </w:p>
        </w:tc>
        <w:tc>
          <w:tcPr>
            <w:tcW w:type="dxa" w:w="1440"/>
            <w:shd w:fill="F3F4F6"/>
          </w:tcPr>
          <w:p>
            <w:pPr>
              <w:jc w:val="center"/>
            </w:pPr>
            <w:r>
              <w:rPr>
                <w:rFonts w:ascii="Arial" w:hAnsi="Arial"/>
                <w:b/>
                <w:sz w:val="18"/>
              </w:rPr>
              <w:t xml:space="preserve">1.9064</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no flips were detected, indicating a fair and unbiased assessment. However, the lack of complete data may still introduce biases in the evaluation process. Further testing and validation are needed to ensure the accuracy and fairness of the AI-driven credit assessment.</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therefore, no summary can be provided. The lack of personal discussion findings may limit the understanding of the company's creditworthiness and business activities. Further discussions with the applicant may be necessary to gather more information and assess the company's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