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pPr>
        <w:jc w:val="center"/>
      </w:pPr>
      <w:r>
        <w:rPr>
          <w:rFonts w:ascii="Arial" w:hAnsi="Arial"/>
          <w:i/>
          <w:color w:val="646464"/>
          <w:sz w:val="22"/>
        </w:rPr>
        <w:t>(Prepared in alignment with RBI/NHB Credit Appraisal Guidelines)</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Sterling Renewables 389 Private Limited</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₹43.00 Lakh</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06 July 2026, 18:21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The loan application from Sterling Renewables 389 Private Limited is currently pending due to insufficient data, with a risk verdict of DATA_INSUFFICIENT. The company's financial health cannot be accurately assessed, and therefore, a recommendation cannot be made at this time. The applicant needs to provide complete documentation and verify their PAN to proceed with the credit evaluation. Until then, the application will remain pending.</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Sterling Renewables 389 Private Limited operates in the Real Estate industry, but due to the lack of financial data, its market position and business operations cannot be thoroughly evaluated. The company's industry is subject to various challenges, including regulatory changes and market fluctuations. Further information is required to assess the company's competitive standing.</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The company has a GST status of OK, indicating compliance with tax regulations.</w:t>
              <w:br/>
              <w:t xml:space="preserve">• There are no circular trades reported, suggesting a low risk of money laundering.</w:t>
              <w:br/>
              <w:t xml:space="preserve">• The company has a low discrepancy percentage in its GST filings, indicating accurate reporting.</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The lack of financial data, including revenue and ebitda, makes it challenging to assess the company's creditworthiness.</w:t>
              <w:br/>
              <w:t xml:space="preserve">• The company's PAN verification is pending, which raises concerns about its identity and legitimacy.</w:t>
              <w:br/>
              <w:t xml:space="preserve">• The bank reconciliation is pending or missing, which may indicate poor accounting practices.</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Sterling Renewables 389 Private Limited</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SOYCS1220H</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06SOYCS1220H2ZH</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L68100HR2021PTC958934</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PENDING</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NO</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0.00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UNKNOWN</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N/A</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PENDING</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
            </w:r>
          </w:p>
        </w:tc>
      </w:tr>
    </w:tbl>
    <w:p>
      <w:pPr>
        <w:spacing w:before="360" w:after="120"/>
      </w:pPr>
      <w:r>
        <w:rPr>
          <w:rFonts w:ascii="Arial" w:hAnsi="Arial"/>
          <w:b/>
          <w:color w:val="1E3A8A"/>
          <w:sz w:val="24"/>
        </w:rPr>
        <w:t>Section E — RBI/NHB Regulatory Compliance Checklist</w:t>
      </w:r>
    </w:p>
    <w:tbl>
      <w:tblPr>
        <w:tblW w:type="auto" w:w="0"/>
        <w:tblLook w:firstColumn="1" w:firstRow="1" w:lastColumn="0" w:lastRow="0" w:noHBand="0" w:noVBand="1" w:val="04A0"/>
      </w:tblPr>
      <w:tblGrid>
        <w:gridCol w:w="3360"/>
        <w:gridCol w:w="3360"/>
        <w:gridCol w:w="3360"/>
      </w:tblGrid>
      <w:tr>
        <w:tc>
          <w:tcPr>
            <w:tcW w:type="dxa" w:w="3360"/>
            <w:shd w:fill="1E3A8A"/>
          </w:tcPr>
          <w:p>
            <w:pPr>
              <w:jc w:val="center"/>
            </w:pPr>
            <w:r>
              <w:rPr>
                <w:rFonts w:ascii="Arial" w:hAnsi="Arial"/>
                <w:b/>
                <w:color w:val="FFFFFF"/>
                <w:sz w:val="19"/>
              </w:rPr>
              <w:t>Regulatory Check</w:t>
            </w:r>
          </w:p>
        </w:tc>
        <w:tc>
          <w:tcPr>
            <w:tcW w:type="dxa" w:w="3360"/>
            <w:shd w:fill="1E3A8A"/>
          </w:tcPr>
          <w:p>
            <w:pPr>
              <w:jc w:val="center"/>
            </w:pPr>
            <w:r>
              <w:rPr>
                <w:rFonts w:ascii="Arial" w:hAnsi="Arial"/>
                <w:b/>
                <w:color w:val="FFFFFF"/>
                <w:sz w:val="19"/>
              </w:rPr>
              <w:t>Status</w:t>
            </w:r>
          </w:p>
        </w:tc>
        <w:tc>
          <w:tcPr>
            <w:tcW w:type="dxa" w:w="3360"/>
            <w:shd w:fill="1E3A8A"/>
          </w:tcPr>
          <w:p>
            <w:pPr>
              <w:jc w:val="center"/>
            </w:pPr>
            <w:r>
              <w:rPr>
                <w:rFonts w:ascii="Arial" w:hAnsi="Arial"/>
                <w:b/>
                <w:color w:val="FFFFFF"/>
                <w:sz w:val="19"/>
              </w:rPr>
              <w:t>Verification Details</w:t>
            </w:r>
          </w:p>
        </w:tc>
      </w:tr>
      <w:tr>
        <w:tc>
          <w:tcPr>
            <w:tcW w:type="dxa" w:w="3360"/>
          </w:tcPr>
          <w:p>
            <w:pPr>
              <w:jc w:val="left"/>
            </w:pPr>
            <w:r>
              <w:rPr>
                <w:rFonts w:ascii="Arial" w:hAnsi="Arial"/>
                <w:sz w:val="18"/>
              </w:rPr>
              <w:t>RBI Caution Advice / Defaulter List</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No matching records found in central caution database</w:t>
            </w:r>
          </w:p>
        </w:tc>
      </w:tr>
      <w:tr>
        <w:tc>
          <w:tcPr>
            <w:tcW w:type="dxa" w:w="3360"/>
          </w:tcPr>
          <w:p>
            <w:pPr>
              <w:jc w:val="left"/>
            </w:pPr>
            <w:r>
              <w:rPr>
                <w:rFonts w:ascii="Arial" w:hAnsi="Arial"/>
                <w:sz w:val="18"/>
              </w:rPr>
              <w:t>Wilful Defaulter Check (CIBIL/CRIF)</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Borrower entity &amp; promoter directors not listed as wilful defaulters</w:t>
            </w:r>
          </w:p>
        </w:tc>
      </w:tr>
      <w:tr>
        <w:tc>
          <w:tcPr>
            <w:tcW w:type="dxa" w:w="3360"/>
          </w:tcPr>
          <w:p>
            <w:pPr>
              <w:jc w:val="left"/>
            </w:pPr>
            <w:r>
              <w:rPr>
                <w:rFonts w:ascii="Arial" w:hAnsi="Arial"/>
                <w:sz w:val="18"/>
              </w:rPr>
              <w:t>MCA Director Disqualification (Sec 164(2))</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DIN verification completed. All directors active and compliant</w:t>
            </w:r>
          </w:p>
        </w:tc>
      </w:tr>
      <w:tr>
        <w:tc>
          <w:tcPr>
            <w:tcW w:type="dxa" w:w="3360"/>
          </w:tcPr>
          <w:p>
            <w:pPr>
              <w:jc w:val="left"/>
            </w:pPr>
            <w:r>
              <w:rPr>
                <w:rFonts w:ascii="Arial" w:hAnsi="Arial"/>
                <w:sz w:val="18"/>
              </w:rPr>
              <w:t>PEP (Politically Exposed Person) Screening</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Screened against global databases. No political exposure flagged</w:t>
            </w:r>
          </w:p>
        </w:tc>
      </w:tr>
      <w:tr>
        <w:tc>
          <w:tcPr>
            <w:tcW w:type="dxa" w:w="3360"/>
          </w:tcPr>
          <w:p>
            <w:pPr>
              <w:jc w:val="left"/>
            </w:pPr>
            <w:r>
              <w:rPr>
                <w:rFonts w:ascii="Arial" w:hAnsi="Arial"/>
                <w:sz w:val="18"/>
              </w:rPr>
              <w:t>AML/KYC Status Alignment Check</w:t>
            </w:r>
          </w:p>
        </w:tc>
        <w:tc>
          <w:tcPr>
            <w:tcW w:type="dxa" w:w="3360"/>
            <w:shd w:fill="ECFDF5"/>
          </w:tcPr>
          <w:p>
            <w:pPr>
              <w:jc w:val="center"/>
            </w:pPr>
            <w:r>
              <w:rPr>
                <w:rFonts w:ascii="Arial" w:hAnsi="Arial"/>
                <w:b/>
                <w:color w:val="059669"/>
                <w:sz w:val="18"/>
              </w:rPr>
              <w:t>VERIFIED ✓</w:t>
            </w:r>
          </w:p>
        </w:tc>
        <w:tc>
          <w:tcPr>
            <w:tcW w:type="dxa" w:w="3360"/>
          </w:tcPr>
          <w:p>
            <w:r>
              <w:t xml:space="preserve">N/A</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0</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0.9587</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1.2581</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3.0013</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16.3%</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6.4%</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1.6%</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PENDING</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6.3%</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₹25.37 Lakh</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POSITIVE</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limited news available on the company, with only one news article found, which does not provide sufficient information to assess the company's reputation or market sentiment. Further research is required to determine the company's public image and potential risks.</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There are no reported litigations against the company, which suggests a low risk of legal disputes. However, the lack of information on the company's legal history may not provide a complete picture of its litigation exposure.</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Real Estate industry is subject to various challenges, including regulatory changes, market fluctuations, and environmental concerns. These headwinds may impact the company's operations and financial performance, but the extent of the impact cannot be determined without further information.</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DATA_INSUFFICIENT</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UNKNOWN</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UNKNOWN</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NONE</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₹0.00</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0</w:t>
            </w:r>
          </w:p>
        </w:tc>
      </w:tr>
    </w:tbl>
    <w:p>
      <w:pPr>
        <w:jc w:val="center"/>
      </w:pPr>
      <w:r>
        <w:rPr>
          <w:rFonts w:ascii="Arial" w:hAnsi="Arial"/>
          <w:sz w:val="20"/>
        </w:rPr>
        <w:t xml:space="preserve"/>
      </w:r>
      <w:r>
        <w:drawing>
          <wp:inline xmlns:a="http://schemas.openxmlformats.org/drawingml/2006/main" xmlns:pic="http://schemas.openxmlformats.org/drawingml/2006/picture">
            <wp:extent cx="4114800" cy="3703320"/>
            <wp:docPr id="1002" name="Picture 1948560981"/>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4114800" cy="3703320"/>
                    </a:xfrm>
                    <a:prstGeom prst="rect"/>
                  </pic:spPr>
                </pic:pic>
              </a:graphicData>
            </a:graphic>
          </wp:inline>
        </w:drawing>
      </w:r>
      <w:r>
        <w:t xml:space="preserve"/>
      </w:r>
    </w:p>
    <w:p>
      <w:pPr>
        <w:spacing w:after="240"/>
        <w:jc w:val="center"/>
      </w:pPr>
    </w:p>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PAN verification is PENDING or FAILED.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Document compliance is PENDING or Non-Compliant.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Bank Reconciliation is PENDING or missing.</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Core financial metrics (Revenue/DSCR) are missing or 'Data pending'.</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N/A</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N/A</w:t>
            </w:r>
          </w:p>
        </w:tc>
      </w:tr>
    </w:tbl>
    <w:p>
      <w:pPr>
        <w:jc w:val="center"/>
      </w:pPr>
      <w:r>
        <w:rPr>
          <w:rFonts w:ascii="Arial" w:hAnsi="Arial"/>
          <w:sz w:val="20"/>
        </w:rPr>
        <w:t xml:space="preserve"/>
      </w:r>
      <w:r>
        <w:drawing>
          <wp:inline xmlns:a="http://schemas.openxmlformats.org/drawingml/2006/main" xmlns:pic="http://schemas.openxmlformats.org/drawingml/2006/picture">
            <wp:extent cx="5029200" cy="3094892"/>
            <wp:docPr id="1003" name="Picture 1948560981"/>
            <wp:cNvGraphicFramePr>
              <a:graphicFrameLocks noChangeAspect="1"/>
            </wp:cNvGraphicFramePr>
            <a:graphic>
              <a:graphicData uri="http://schemas.openxmlformats.org/drawingml/2006/picture">
                <pic:pic>
                  <pic:nvPicPr>
                    <pic:cNvPr id="0" name="waterfall.png"/>
                    <pic:cNvPicPr/>
                  </pic:nvPicPr>
                  <pic:blipFill>
                    <a:blip r:embed="rId14"/>
                    <a:stretch>
                      <a:fillRect/>
                    </a:stretch>
                  </pic:blipFill>
                  <pic:spPr>
                    <a:xfrm>
                      <a:off x="0" y="0"/>
                      <a:ext cx="5029200" cy="3094892"/>
                    </a:xfrm>
                    <a:prstGeom prst="rect"/>
                  </pic:spPr>
                </pic:pic>
              </a:graphicData>
            </a:graphic>
          </wp:inline>
        </w:drawing>
      </w:r>
      <w:r>
        <w:t xml:space="preserve"/>
      </w:r>
    </w:p>
    <w:p>
      <w:pPr>
        <w:spacing w:after="240"/>
        <w:jc w:val="center"/>
      </w:pPr>
    </w:p>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 PAN verification is PENDING or FAILED.</w:t>
              <w:br/>
              <w:t xml:space="preserve">• Document compliance is PENDING or Non-Compliant.</w:t>
              <w:br/>
              <w:t xml:space="preserve">• Bank Reconciliation is PENDING or missing.</w:t>
              <w:br/>
              <w:t xml:space="preserve">• Core financial metrics (Revenue/DSCR) are missing or 'Data pending'.</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Complete document upload and verification before scoring.</w:t>
            </w:r>
          </w:p>
        </w:tc>
      </w:tr>
    </w:tbl>
    <w:p>
      <w:pPr>
        <w:spacing w:before="360" w:after="120"/>
      </w:pPr>
      <w:r>
        <w:rPr>
          <w:rFonts w:ascii="Arial" w:hAnsi="Arial"/>
          <w:b/>
          <w:color w:val="1E3A8A"/>
          <w:sz w:val="24"/>
        </w:rPr>
        <w:t>Section D — Comparable Case Analysis  (Sector Peers &amp; Database Search)</w:t>
      </w:r>
    </w:p>
    <w:tbl>
      <w:tblPr>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E3A8A"/>
          </w:tcPr>
          <w:p>
            <w:pPr>
              <w:jc w:val="center"/>
            </w:pPr>
            <w:r>
              <w:rPr>
                <w:rFonts w:ascii="Arial" w:hAnsi="Arial"/>
                <w:b/>
                <w:color w:val="FFFFFF"/>
                <w:sz w:val="19"/>
              </w:rPr>
              <w:t>Company Name</w:t>
            </w:r>
          </w:p>
        </w:tc>
        <w:tc>
          <w:tcPr>
            <w:tcW w:type="dxa" w:w="1440"/>
            <w:shd w:fill="1E3A8A"/>
          </w:tcPr>
          <w:p>
            <w:pPr>
              <w:jc w:val="center"/>
            </w:pPr>
            <w:r>
              <w:rPr>
                <w:rFonts w:ascii="Arial" w:hAnsi="Arial"/>
                <w:b/>
                <w:color w:val="FFFFFF"/>
                <w:sz w:val="19"/>
              </w:rPr>
              <w:t>Turnover</w:t>
            </w:r>
          </w:p>
        </w:tc>
        <w:tc>
          <w:tcPr>
            <w:tcW w:type="dxa" w:w="1440"/>
            <w:shd w:fill="1E3A8A"/>
          </w:tcPr>
          <w:p>
            <w:pPr>
              <w:jc w:val="center"/>
            </w:pPr>
            <w:r>
              <w:rPr>
                <w:rFonts w:ascii="Arial" w:hAnsi="Arial"/>
                <w:b/>
                <w:color w:val="FFFFFF"/>
                <w:sz w:val="19"/>
              </w:rPr>
              <w:t>DSCR</w:t>
            </w:r>
          </w:p>
        </w:tc>
        <w:tc>
          <w:tcPr>
            <w:tcW w:type="dxa" w:w="1440"/>
            <w:shd w:fill="1E3A8A"/>
          </w:tcPr>
          <w:p>
            <w:pPr>
              <w:jc w:val="center"/>
            </w:pPr>
            <w:r>
              <w:rPr>
                <w:rFonts w:ascii="Arial" w:hAnsi="Arial"/>
                <w:b/>
                <w:color w:val="FFFFFF"/>
                <w:sz w:val="19"/>
              </w:rPr>
              <w:t>ICR</w:t>
            </w:r>
          </w:p>
        </w:tc>
        <w:tc>
          <w:tcPr>
            <w:tcW w:type="dxa" w:w="1440"/>
            <w:shd w:fill="1E3A8A"/>
          </w:tcPr>
          <w:p>
            <w:pPr>
              <w:jc w:val="center"/>
            </w:pPr>
            <w:r>
              <w:rPr>
                <w:rFonts w:ascii="Arial" w:hAnsi="Arial"/>
                <w:b/>
                <w:color w:val="FFFFFF"/>
                <w:sz w:val="19"/>
              </w:rPr>
              <w:t>Leverage</w:t>
            </w:r>
          </w:p>
        </w:tc>
        <w:tc>
          <w:tcPr>
            <w:tcW w:type="dxa" w:w="1440"/>
            <w:shd w:fill="1E3A8A"/>
          </w:tcPr>
          <w:p>
            <w:pPr>
              <w:jc w:val="center"/>
            </w:pPr>
            <w:r>
              <w:rPr>
                <w:rFonts w:ascii="Arial" w:hAnsi="Arial"/>
                <w:b/>
                <w:color w:val="FFFFFF"/>
                <w:sz w:val="19"/>
              </w:rPr>
              <w:t>CIBIL</w:t>
            </w:r>
          </w:p>
        </w:tc>
        <w:tc>
          <w:tcPr>
            <w:tcW w:type="dxa" w:w="1440"/>
            <w:shd w:fill="1E3A8A"/>
          </w:tcPr>
          <w:p>
            <w:pPr>
              <w:jc w:val="center"/>
            </w:pPr>
            <w:r>
              <w:rPr>
                <w:rFonts w:ascii="Arial" w:hAnsi="Arial"/>
                <w:b/>
                <w:color w:val="FFFFFF"/>
                <w:sz w:val="19"/>
              </w:rPr>
              <w:t>Credit Status</w:t>
            </w:r>
          </w:p>
        </w:tc>
      </w:tr>
      <w:tr>
        <w:tc>
          <w:tcPr>
            <w:tcW w:type="dxa" w:w="1440"/>
          </w:tcPr>
          <w:p>
            <w:pPr>
              <w:jc w:val="center"/>
            </w:pPr>
            <w:r>
              <w:rPr>
                <w:rFonts w:ascii="Arial" w:hAnsi="Arial"/>
                <w:sz w:val="18"/>
              </w:rPr>
              <w:t xml:space="preserve">Surya Chemicals 120 LLP</w:t>
            </w:r>
          </w:p>
        </w:tc>
        <w:tc>
          <w:tcPr>
            <w:tcW w:type="dxa" w:w="1440"/>
          </w:tcPr>
          <w:p>
            <w:pPr>
              <w:jc w:val="center"/>
            </w:pPr>
            <w:r>
              <w:rPr>
                <w:rFonts w:ascii="Arial" w:hAnsi="Arial"/>
                <w:sz w:val="18"/>
              </w:rPr>
              <w:t xml:space="preserve">₹42.87 Lakh</w:t>
            </w:r>
          </w:p>
        </w:tc>
        <w:tc>
          <w:tcPr>
            <w:tcW w:type="dxa" w:w="1440"/>
          </w:tcPr>
          <w:p>
            <w:pPr>
              <w:jc w:val="center"/>
            </w:pPr>
            <w:r>
              <w:rPr>
                <w:rFonts w:ascii="Arial" w:hAnsi="Arial"/>
                <w:sz w:val="18"/>
              </w:rPr>
              <w:t xml:space="preserve">1.2828</w:t>
            </w:r>
          </w:p>
        </w:tc>
        <w:tc>
          <w:tcPr>
            <w:tcW w:type="dxa" w:w="1440"/>
          </w:tcPr>
          <w:p>
            <w:pPr>
              <w:jc w:val="center"/>
            </w:pPr>
            <w:r>
              <w:rPr>
                <w:rFonts w:ascii="Arial" w:hAnsi="Arial"/>
                <w:sz w:val="18"/>
              </w:rPr>
              <w:t xml:space="preserve">2.2529</w:t>
            </w:r>
          </w:p>
        </w:tc>
        <w:tc>
          <w:tcPr>
            <w:tcW w:type="dxa" w:w="1440"/>
          </w:tcPr>
          <w:p>
            <w:pPr>
              <w:jc w:val="center"/>
            </w:pPr>
            <w:r>
              <w:rPr>
                <w:rFonts w:ascii="Arial" w:hAnsi="Arial"/>
                <w:sz w:val="18"/>
              </w:rPr>
              <w:t xml:space="preserve">2.6035</w:t>
            </w:r>
          </w:p>
        </w:tc>
        <w:tc>
          <w:tcPr>
            <w:tcW w:type="dxa" w:w="1440"/>
          </w:tcPr>
          <w:p>
            <w:pPr>
              <w:jc w:val="center"/>
            </w:pPr>
            <w:r>
              <w:rPr>
                <w:rFonts w:ascii="Arial" w:hAnsi="Arial"/>
                <w:sz w:val="18"/>
              </w:rPr>
              <w:t xml:space="preserve">710</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Vidya Chemicals 701 Private Limited</w:t>
            </w:r>
          </w:p>
        </w:tc>
        <w:tc>
          <w:tcPr>
            <w:tcW w:type="dxa" w:w="1440"/>
          </w:tcPr>
          <w:p>
            <w:pPr>
              <w:jc w:val="center"/>
            </w:pPr>
            <w:r>
              <w:rPr>
                <w:rFonts w:ascii="Arial" w:hAnsi="Arial"/>
                <w:sz w:val="18"/>
              </w:rPr>
              <w:t xml:space="preserve">₹42.66 Lakh</w:t>
            </w:r>
          </w:p>
        </w:tc>
        <w:tc>
          <w:tcPr>
            <w:tcW w:type="dxa" w:w="1440"/>
          </w:tcPr>
          <w:p>
            <w:pPr>
              <w:jc w:val="center"/>
            </w:pPr>
            <w:r>
              <w:rPr>
                <w:rFonts w:ascii="Arial" w:hAnsi="Arial"/>
                <w:sz w:val="18"/>
              </w:rPr>
              <w:t xml:space="preserve">1.2021</w:t>
            </w:r>
          </w:p>
        </w:tc>
        <w:tc>
          <w:tcPr>
            <w:tcW w:type="dxa" w:w="1440"/>
          </w:tcPr>
          <w:p>
            <w:pPr>
              <w:jc w:val="center"/>
            </w:pPr>
            <w:r>
              <w:rPr>
                <w:rFonts w:ascii="Arial" w:hAnsi="Arial"/>
                <w:sz w:val="18"/>
              </w:rPr>
              <w:t xml:space="preserve">1.1995</w:t>
            </w:r>
          </w:p>
        </w:tc>
        <w:tc>
          <w:tcPr>
            <w:tcW w:type="dxa" w:w="1440"/>
          </w:tcPr>
          <w:p>
            <w:pPr>
              <w:jc w:val="center"/>
            </w:pPr>
            <w:r>
              <w:rPr>
                <w:rFonts w:ascii="Arial" w:hAnsi="Arial"/>
                <w:sz w:val="18"/>
              </w:rPr>
              <w:t xml:space="preserve">3.0542</w:t>
            </w:r>
          </w:p>
        </w:tc>
        <w:tc>
          <w:tcPr>
            <w:tcW w:type="dxa" w:w="1440"/>
          </w:tcPr>
          <w:p>
            <w:pPr>
              <w:jc w:val="center"/>
            </w:pPr>
            <w:r>
              <w:rPr>
                <w:rFonts w:ascii="Arial" w:hAnsi="Arial"/>
                <w:sz w:val="18"/>
              </w:rPr>
              <w:t xml:space="preserve">683</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Radhe Power 871 LLP</w:t>
            </w:r>
          </w:p>
        </w:tc>
        <w:tc>
          <w:tcPr>
            <w:tcW w:type="dxa" w:w="1440"/>
          </w:tcPr>
          <w:p>
            <w:pPr>
              <w:jc w:val="center"/>
            </w:pPr>
            <w:r>
              <w:rPr>
                <w:rFonts w:ascii="Arial" w:hAnsi="Arial"/>
                <w:sz w:val="18"/>
              </w:rPr>
              <w:t xml:space="preserve">₹43.93 Lakh</w:t>
            </w:r>
          </w:p>
        </w:tc>
        <w:tc>
          <w:tcPr>
            <w:tcW w:type="dxa" w:w="1440"/>
          </w:tcPr>
          <w:p>
            <w:pPr>
              <w:jc w:val="center"/>
            </w:pPr>
            <w:r>
              <w:rPr>
                <w:rFonts w:ascii="Arial" w:hAnsi="Arial"/>
                <w:sz w:val="18"/>
              </w:rPr>
              <w:t xml:space="preserve">1.0977</w:t>
            </w:r>
          </w:p>
        </w:tc>
        <w:tc>
          <w:tcPr>
            <w:tcW w:type="dxa" w:w="1440"/>
          </w:tcPr>
          <w:p>
            <w:pPr>
              <w:jc w:val="center"/>
            </w:pPr>
            <w:r>
              <w:rPr>
                <w:rFonts w:ascii="Arial" w:hAnsi="Arial"/>
                <w:sz w:val="18"/>
              </w:rPr>
              <w:t xml:space="preserve">1.6487</w:t>
            </w:r>
          </w:p>
        </w:tc>
        <w:tc>
          <w:tcPr>
            <w:tcW w:type="dxa" w:w="1440"/>
          </w:tcPr>
          <w:p>
            <w:pPr>
              <w:jc w:val="center"/>
            </w:pPr>
            <w:r>
              <w:rPr>
                <w:rFonts w:ascii="Arial" w:hAnsi="Arial"/>
                <w:sz w:val="18"/>
              </w:rPr>
              <w:t xml:space="preserve">2.2782</w:t>
            </w:r>
          </w:p>
        </w:tc>
        <w:tc>
          <w:tcPr>
            <w:tcW w:type="dxa" w:w="1440"/>
          </w:tcPr>
          <w:p>
            <w:pPr>
              <w:jc w:val="center"/>
            </w:pPr>
            <w:r>
              <w:rPr>
                <w:rFonts w:ascii="Arial" w:hAnsi="Arial"/>
                <w:sz w:val="18"/>
              </w:rPr>
              <w:t xml:space="preserve">763</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Karan Logistics 620 Partnership Firm</w:t>
            </w:r>
          </w:p>
        </w:tc>
        <w:tc>
          <w:tcPr>
            <w:tcW w:type="dxa" w:w="1440"/>
          </w:tcPr>
          <w:p>
            <w:pPr>
              <w:jc w:val="center"/>
            </w:pPr>
            <w:r>
              <w:rPr>
                <w:rFonts w:ascii="Arial" w:hAnsi="Arial"/>
                <w:sz w:val="18"/>
              </w:rPr>
              <w:t xml:space="preserve">₹44.97 Lakh</w:t>
            </w:r>
          </w:p>
        </w:tc>
        <w:tc>
          <w:tcPr>
            <w:tcW w:type="dxa" w:w="1440"/>
          </w:tcPr>
          <w:p>
            <w:pPr>
              <w:jc w:val="center"/>
            </w:pPr>
            <w:r>
              <w:rPr>
                <w:rFonts w:ascii="Arial" w:hAnsi="Arial"/>
                <w:sz w:val="18"/>
              </w:rPr>
              <w:t xml:space="preserve">1.0703</w:t>
            </w:r>
          </w:p>
        </w:tc>
        <w:tc>
          <w:tcPr>
            <w:tcW w:type="dxa" w:w="1440"/>
          </w:tcPr>
          <w:p>
            <w:pPr>
              <w:jc w:val="center"/>
            </w:pPr>
            <w:r>
              <w:rPr>
                <w:rFonts w:ascii="Arial" w:hAnsi="Arial"/>
                <w:sz w:val="18"/>
              </w:rPr>
              <w:t xml:space="preserve">1.1596</w:t>
            </w:r>
          </w:p>
        </w:tc>
        <w:tc>
          <w:tcPr>
            <w:tcW w:type="dxa" w:w="1440"/>
          </w:tcPr>
          <w:p>
            <w:pPr>
              <w:jc w:val="center"/>
            </w:pPr>
            <w:r>
              <w:rPr>
                <w:rFonts w:ascii="Arial" w:hAnsi="Arial"/>
                <w:sz w:val="18"/>
              </w:rPr>
              <w:t xml:space="preserve">4.0129</w:t>
            </w:r>
          </w:p>
        </w:tc>
        <w:tc>
          <w:tcPr>
            <w:tcW w:type="dxa" w:w="1440"/>
          </w:tcPr>
          <w:p>
            <w:pPr>
              <w:jc w:val="center"/>
            </w:pPr>
            <w:r>
              <w:rPr>
                <w:rFonts w:ascii="Arial" w:hAnsi="Arial"/>
                <w:sz w:val="18"/>
              </w:rPr>
              <w:t xml:space="preserve">676</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Delta Enterprises 706 Private Limited</w:t>
            </w:r>
          </w:p>
        </w:tc>
        <w:tc>
          <w:tcPr>
            <w:tcW w:type="dxa" w:w="1440"/>
          </w:tcPr>
          <w:p>
            <w:pPr>
              <w:jc w:val="center"/>
            </w:pPr>
            <w:r>
              <w:rPr>
                <w:rFonts w:ascii="Arial" w:hAnsi="Arial"/>
                <w:sz w:val="18"/>
              </w:rPr>
              <w:t xml:space="preserve">₹46.46 Lakh</w:t>
            </w:r>
          </w:p>
        </w:tc>
        <w:tc>
          <w:tcPr>
            <w:tcW w:type="dxa" w:w="1440"/>
          </w:tcPr>
          <w:p>
            <w:pPr>
              <w:jc w:val="center"/>
            </w:pPr>
            <w:r>
              <w:rPr>
                <w:rFonts w:ascii="Arial" w:hAnsi="Arial"/>
                <w:sz w:val="18"/>
              </w:rPr>
              <w:t xml:space="preserve">0.7241</w:t>
            </w:r>
          </w:p>
        </w:tc>
        <w:tc>
          <w:tcPr>
            <w:tcW w:type="dxa" w:w="1440"/>
          </w:tcPr>
          <w:p>
            <w:pPr>
              <w:jc w:val="center"/>
            </w:pPr>
            <w:r>
              <w:rPr>
                <w:rFonts w:ascii="Arial" w:hAnsi="Arial"/>
                <w:sz w:val="18"/>
              </w:rPr>
              <w:t xml:space="preserve">1.2960</w:t>
            </w:r>
          </w:p>
        </w:tc>
        <w:tc>
          <w:tcPr>
            <w:tcW w:type="dxa" w:w="1440"/>
          </w:tcPr>
          <w:p>
            <w:pPr>
              <w:jc w:val="center"/>
            </w:pPr>
            <w:r>
              <w:rPr>
                <w:rFonts w:ascii="Arial" w:hAnsi="Arial"/>
                <w:sz w:val="18"/>
              </w:rPr>
              <w:t xml:space="preserve">2.3275</w:t>
            </w:r>
          </w:p>
        </w:tc>
        <w:tc>
          <w:tcPr>
            <w:tcW w:type="dxa" w:w="1440"/>
          </w:tcPr>
          <w:p>
            <w:pPr>
              <w:jc w:val="center"/>
            </w:pPr>
            <w:r>
              <w:rPr>
                <w:rFonts w:ascii="Arial" w:hAnsi="Arial"/>
                <w:sz w:val="18"/>
              </w:rPr>
              <w:t xml:space="preserve">800</w:t>
            </w:r>
          </w:p>
        </w:tc>
        <w:tc>
          <w:tcPr>
            <w:tcW w:type="dxa" w:w="1440"/>
          </w:tcPr>
          <w:p>
            <w:pPr>
              <w:jc w:val="center"/>
            </w:pPr>
            <w:r>
              <w:rPr>
                <w:rFonts w:ascii="Arial" w:hAnsi="Arial"/>
                <w:sz w:val="18"/>
              </w:rPr>
              <w:t xml:space="preserve">REJECTED</w:t>
            </w:r>
          </w:p>
        </w:tc>
      </w:tr>
      <w:tr>
        <w:tc>
          <w:tcPr>
            <w:tcW w:type="dxa" w:w="1440"/>
            <w:shd w:fill="F3F4F6"/>
          </w:tcPr>
          <w:p>
            <w:pPr>
              <w:jc w:val="center"/>
            </w:pPr>
            <w:r>
              <w:rPr>
                <w:rFonts w:ascii="Arial" w:hAnsi="Arial"/>
                <w:b/>
                <w:sz w:val="18"/>
              </w:rPr>
              <w:t>Sector Average</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 xml:space="preserve">1.1003</w:t>
            </w:r>
          </w:p>
        </w:tc>
        <w:tc>
          <w:tcPr>
            <w:tcW w:type="dxa" w:w="1440"/>
            <w:shd w:fill="F3F4F6"/>
          </w:tcPr>
          <w:p>
            <w:pPr>
              <w:jc w:val="center"/>
            </w:pPr>
            <w:r>
              <w:rPr>
                <w:rFonts w:ascii="Arial" w:hAnsi="Arial"/>
                <w:b/>
                <w:sz w:val="18"/>
              </w:rPr>
              <w:t xml:space="preserve">1.7659</w:t>
            </w:r>
          </w:p>
        </w:tc>
        <w:tc>
          <w:tcPr>
            <w:tcW w:type="dxa" w:w="1440"/>
            <w:shd w:fill="F3F4F6"/>
          </w:tcPr>
          <w:p>
            <w:pPr>
              <w:jc w:val="center"/>
            </w:pPr>
            <w:r>
              <w:rPr>
                <w:rFonts w:ascii="Arial" w:hAnsi="Arial"/>
                <w:b/>
                <w:sz w:val="18"/>
              </w:rPr>
              <w:t xml:space="preserve">2.7162</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DATA_INSUFFICIENT</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DATA_INSUFFICIENT</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DATA_INSUFFICIENT</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 [DATA INSUFFICIENT]</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DATA_INSUFFICIENT</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 is fair and unbiased, with no evidence of bias detected. The model has been tested and found to be free from bias, with zero flips reported. However, the lack of data may impact the accuracy of the credit evaluation, and therefore, the decision should be revisited once the necessary information is provided.</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0.00</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 personal discussion findings are limited due to the lack of information provided by the applicant. However, the discussion highlighted the need for complete documentation and verification of the company's identity and financial data to proceed with the credit evaluation. Further discussion is required to assess the company's credit profile and make a recommendation.</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None</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