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Ganesh Textiles 741 LLP</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₹20.00 Lakh</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06 July 2026, 18:11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The loan application of Ganesh Textiles 741 LLP is currently pending due to insufficient data, with a risk verdict of DATA_INSUFFICIENT. The company's financial health cannot be accurately assessed due to missing core financial metrics. It is recommended that the applicant complete the document upload and verification process before a credit decision can be made. The overall risk profile of the company is uncertain due to the lack of information.</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Ganesh Textiles 741 LLP operates in the Steel Fabrication industry, but its market position and business operations are not well understood due to the limited information available. The company's GST status is OK, with a low discrepancy percentage, indicating some level of compliance with tax regulations. However, more information is needed to fully assess the company's business overview.</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GST status is OK, indicating some level of compliance with tax regulations</w:t>
              <w:br/>
              <w:t xml:space="preserve">• Low discrepancy percentage in GST filings</w:t>
              <w:br/>
              <w:t xml:space="preserve">• No circular trade detected in GST data</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Missing core financial metrics, including revenue and net worth</w:t>
              <w:br/>
              <w:t xml:space="preserve">• PAN verification is PENDING or FAILED, raising concerns about the company's identity and legitimacy</w:t>
              <w:br/>
              <w:t xml:space="preserve">• Document compliance is PENDING or Non-Compliant, indicating potential regulatory issues</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Ganesh Textiles 741 LLP</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MHMFG0342L</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27MHMFG0342L8ZZ</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N/A</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PENDING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0.00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UNKNOWN</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N/A</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PENDING</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&amp;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r>
              <w:t xml:space="preserve">N/A</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1.3370</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0.6693</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1.5463</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4.1%</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0.9%</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1.6%</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PENDING</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4.3%</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₹12.54 Lakh</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NEUTRAL</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limited news available on Ganesh Textiles 741 LLP, with only one news article found. The sentiment of this news is not clearly positive or negative, and more information is needed to fully understand the company's reputation and market position.</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There are no reported litigations against Ganesh Textiles 741 LLP, which is a positive indicator of the company's legal and regulatory compliance. However, the lack of information on the company's business operations and financial health makes it difficult to fully assess its litigation exposure.</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Steel Fabrication industry is subject to various challenges, including fluctuations in raw material prices, intense competition, and changing regulatory requirements. However, the impact of these headwinds on Ganesh Textiles 741 LLP is uncertain due to the limited information available on the company's business operations and financial health.</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DATA_INSUFFICIENT</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UNKNOWN</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UNKNOWN</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NONE</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₹0.00</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0</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2"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PAN verification is PENDING or FAILED.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Document compliance is PENDING or Non-Compliant.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Bank Reconciliation is PENDING or missing.</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Core financial metrics (Revenue/DSCR) are missing or 'Data pending'.</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N/A</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N/A</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3"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 PAN verification is PENDING or FAILED.</w:t>
              <w:br/>
              <w:t xml:space="preserve">• Document compliance is PENDING or Non-Compliant.</w:t>
              <w:br/>
              <w:t xml:space="preserve">• Bank Reconciliation is PENDING or missing.</w:t>
              <w:br/>
              <w:t xml:space="preserve">• Core financial metrics (Revenue/DSCR) are missing or 'Data pending'.</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Complete document upload and verification before scoring.</w:t>
            </w:r>
          </w:p>
        </w:tc>
      </w:tr>
    </w:tbl>
    <w:p>
      <w:pPr>
        <w:spacing w:before="360" w:after="120"/>
      </w:pPr>
      <w:r>
        <w:rPr>
          <w:rFonts w:ascii="Arial" w:hAnsi="Arial"/>
          <w:b/>
          <w:color w:val="1E3A8A"/>
          <w:sz w:val="24"/>
        </w:rPr>
        <w:t>Section D — Comparable Case Analysis  (Sector Peers &amp;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Delta Solutions 133 LLP</w:t>
            </w:r>
          </w:p>
        </w:tc>
        <w:tc>
          <w:tcPr>
            <w:tcW w:type="dxa" w:w="1440"/>
          </w:tcPr>
          <w:p>
            <w:pPr>
              <w:jc w:val="center"/>
            </w:pPr>
            <w:r>
              <w:rPr>
                <w:rFonts w:ascii="Arial" w:hAnsi="Arial"/>
                <w:sz w:val="18"/>
              </w:rPr>
              <w:t xml:space="preserve">₹20.26 Lakh</w:t>
            </w:r>
          </w:p>
        </w:tc>
        <w:tc>
          <w:tcPr>
            <w:tcW w:type="dxa" w:w="1440"/>
          </w:tcPr>
          <w:p>
            <w:pPr>
              <w:jc w:val="center"/>
            </w:pPr>
            <w:r>
              <w:rPr>
                <w:rFonts w:ascii="Arial" w:hAnsi="Arial"/>
                <w:sz w:val="18"/>
              </w:rPr>
              <w:t xml:space="preserve">0.8774</w:t>
            </w:r>
          </w:p>
        </w:tc>
        <w:tc>
          <w:tcPr>
            <w:tcW w:type="dxa" w:w="1440"/>
          </w:tcPr>
          <w:p>
            <w:pPr>
              <w:jc w:val="center"/>
            </w:pPr>
            <w:r>
              <w:rPr>
                <w:rFonts w:ascii="Arial" w:hAnsi="Arial"/>
                <w:sz w:val="18"/>
              </w:rPr>
              <w:t xml:space="preserve">0.9159</w:t>
            </w:r>
          </w:p>
        </w:tc>
        <w:tc>
          <w:tcPr>
            <w:tcW w:type="dxa" w:w="1440"/>
          </w:tcPr>
          <w:p>
            <w:pPr>
              <w:jc w:val="center"/>
            </w:pPr>
            <w:r>
              <w:rPr>
                <w:rFonts w:ascii="Arial" w:hAnsi="Arial"/>
                <w:sz w:val="18"/>
              </w:rPr>
              <w:t xml:space="preserve">1.7099</w:t>
            </w:r>
          </w:p>
        </w:tc>
        <w:tc>
          <w:tcPr>
            <w:tcW w:type="dxa" w:w="1440"/>
          </w:tcPr>
          <w:p>
            <w:pPr>
              <w:jc w:val="center"/>
            </w:pPr>
            <w:r>
              <w:rPr>
                <w:rFonts w:ascii="Arial" w:hAnsi="Arial"/>
                <w:sz w:val="18"/>
              </w:rPr>
              <w:t xml:space="preserve">764</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Tejas Energy 895 Partnership Firm</w:t>
            </w:r>
          </w:p>
        </w:tc>
        <w:tc>
          <w:tcPr>
            <w:tcW w:type="dxa" w:w="1440"/>
          </w:tcPr>
          <w:p>
            <w:pPr>
              <w:jc w:val="center"/>
            </w:pPr>
            <w:r>
              <w:rPr>
                <w:rFonts w:ascii="Arial" w:hAnsi="Arial"/>
                <w:sz w:val="18"/>
              </w:rPr>
              <w:t xml:space="preserve">₹23.06 Lakh</w:t>
            </w:r>
          </w:p>
        </w:tc>
        <w:tc>
          <w:tcPr>
            <w:tcW w:type="dxa" w:w="1440"/>
          </w:tcPr>
          <w:p>
            <w:pPr>
              <w:jc w:val="center"/>
            </w:pPr>
            <w:r>
              <w:rPr>
                <w:rFonts w:ascii="Arial" w:hAnsi="Arial"/>
                <w:sz w:val="18"/>
              </w:rPr>
              <w:t xml:space="preserve">1.4990</w:t>
            </w:r>
          </w:p>
        </w:tc>
        <w:tc>
          <w:tcPr>
            <w:tcW w:type="dxa" w:w="1440"/>
          </w:tcPr>
          <w:p>
            <w:pPr>
              <w:jc w:val="center"/>
            </w:pPr>
            <w:r>
              <w:rPr>
                <w:rFonts w:ascii="Arial" w:hAnsi="Arial"/>
                <w:sz w:val="18"/>
              </w:rPr>
              <w:t xml:space="preserve">1.3579</w:t>
            </w:r>
          </w:p>
        </w:tc>
        <w:tc>
          <w:tcPr>
            <w:tcW w:type="dxa" w:w="1440"/>
          </w:tcPr>
          <w:p>
            <w:pPr>
              <w:jc w:val="center"/>
            </w:pPr>
            <w:r>
              <w:rPr>
                <w:rFonts w:ascii="Arial" w:hAnsi="Arial"/>
                <w:sz w:val="18"/>
              </w:rPr>
              <w:t xml:space="preserve">0.9787</w:t>
            </w:r>
          </w:p>
        </w:tc>
        <w:tc>
          <w:tcPr>
            <w:tcW w:type="dxa" w:w="1440"/>
          </w:tcPr>
          <w:p>
            <w:pPr>
              <w:jc w:val="center"/>
            </w:pPr>
            <w:r>
              <w:rPr>
                <w:rFonts w:ascii="Arial" w:hAnsi="Arial"/>
                <w:sz w:val="18"/>
              </w:rPr>
              <w:t xml:space="preserve">769</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Aditya Retail 295 Private Limited</w:t>
            </w:r>
          </w:p>
        </w:tc>
        <w:tc>
          <w:tcPr>
            <w:tcW w:type="dxa" w:w="1440"/>
          </w:tcPr>
          <w:p>
            <w:pPr>
              <w:jc w:val="center"/>
            </w:pPr>
            <w:r>
              <w:rPr>
                <w:rFonts w:ascii="Arial" w:hAnsi="Arial"/>
                <w:sz w:val="18"/>
              </w:rPr>
              <w:t xml:space="preserve">₹24.13 Lakh</w:t>
            </w:r>
          </w:p>
        </w:tc>
        <w:tc>
          <w:tcPr>
            <w:tcW w:type="dxa" w:w="1440"/>
          </w:tcPr>
          <w:p>
            <w:pPr>
              <w:jc w:val="center"/>
            </w:pPr>
            <w:r>
              <w:rPr>
                <w:rFonts w:ascii="Arial" w:hAnsi="Arial"/>
                <w:sz w:val="18"/>
              </w:rPr>
              <w:t xml:space="preserve">0.9747</w:t>
            </w:r>
          </w:p>
        </w:tc>
        <w:tc>
          <w:tcPr>
            <w:tcW w:type="dxa" w:w="1440"/>
          </w:tcPr>
          <w:p>
            <w:pPr>
              <w:jc w:val="center"/>
            </w:pPr>
            <w:r>
              <w:rPr>
                <w:rFonts w:ascii="Arial" w:hAnsi="Arial"/>
                <w:sz w:val="18"/>
              </w:rPr>
              <w:t xml:space="preserve">0.6306</w:t>
            </w:r>
          </w:p>
        </w:tc>
        <w:tc>
          <w:tcPr>
            <w:tcW w:type="dxa" w:w="1440"/>
          </w:tcPr>
          <w:p>
            <w:pPr>
              <w:jc w:val="center"/>
            </w:pPr>
            <w:r>
              <w:rPr>
                <w:rFonts w:ascii="Arial" w:hAnsi="Arial"/>
                <w:sz w:val="18"/>
              </w:rPr>
              <w:t xml:space="preserve">1.9540</w:t>
            </w:r>
          </w:p>
        </w:tc>
        <w:tc>
          <w:tcPr>
            <w:tcW w:type="dxa" w:w="1440"/>
          </w:tcPr>
          <w:p>
            <w:pPr>
              <w:jc w:val="center"/>
            </w:pPr>
            <w:r>
              <w:rPr>
                <w:rFonts w:ascii="Arial" w:hAnsi="Arial"/>
                <w:sz w:val="18"/>
              </w:rPr>
              <w:t xml:space="preserve">804</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Shivam Energy 359 Private Limited</w:t>
            </w:r>
          </w:p>
        </w:tc>
        <w:tc>
          <w:tcPr>
            <w:tcW w:type="dxa" w:w="1440"/>
          </w:tcPr>
          <w:p>
            <w:pPr>
              <w:jc w:val="center"/>
            </w:pPr>
            <w:r>
              <w:rPr>
                <w:rFonts w:ascii="Arial" w:hAnsi="Arial"/>
                <w:sz w:val="18"/>
              </w:rPr>
              <w:t xml:space="preserve">₹26.38 Lakh</w:t>
            </w:r>
          </w:p>
        </w:tc>
        <w:tc>
          <w:tcPr>
            <w:tcW w:type="dxa" w:w="1440"/>
          </w:tcPr>
          <w:p>
            <w:pPr>
              <w:jc w:val="center"/>
            </w:pPr>
            <w:r>
              <w:rPr>
                <w:rFonts w:ascii="Arial" w:hAnsi="Arial"/>
                <w:sz w:val="18"/>
              </w:rPr>
              <w:t xml:space="preserve">1.1951</w:t>
            </w:r>
          </w:p>
        </w:tc>
        <w:tc>
          <w:tcPr>
            <w:tcW w:type="dxa" w:w="1440"/>
          </w:tcPr>
          <w:p>
            <w:pPr>
              <w:jc w:val="center"/>
            </w:pPr>
            <w:r>
              <w:rPr>
                <w:rFonts w:ascii="Arial" w:hAnsi="Arial"/>
                <w:sz w:val="18"/>
              </w:rPr>
              <w:t xml:space="preserve">0.7844</w:t>
            </w:r>
          </w:p>
        </w:tc>
        <w:tc>
          <w:tcPr>
            <w:tcW w:type="dxa" w:w="1440"/>
          </w:tcPr>
          <w:p>
            <w:pPr>
              <w:jc w:val="center"/>
            </w:pPr>
            <w:r>
              <w:rPr>
                <w:rFonts w:ascii="Arial" w:hAnsi="Arial"/>
                <w:sz w:val="18"/>
              </w:rPr>
              <w:t xml:space="preserve">1.8064</w:t>
            </w:r>
          </w:p>
        </w:tc>
        <w:tc>
          <w:tcPr>
            <w:tcW w:type="dxa" w:w="1440"/>
          </w:tcPr>
          <w:p>
            <w:pPr>
              <w:jc w:val="center"/>
            </w:pPr>
            <w:r>
              <w:rPr>
                <w:rFonts w:ascii="Arial" w:hAnsi="Arial"/>
                <w:sz w:val="18"/>
              </w:rPr>
              <w:t xml:space="preserve">736</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Ambika Retail Private Limited</w:t>
            </w:r>
          </w:p>
        </w:tc>
        <w:tc>
          <w:tcPr>
            <w:tcW w:type="dxa" w:w="1440"/>
          </w:tcPr>
          <w:p>
            <w:pPr>
              <w:jc w:val="center"/>
            </w:pPr>
            <w:r>
              <w:rPr>
                <w:rFonts w:ascii="Arial" w:hAnsi="Arial"/>
                <w:sz w:val="18"/>
              </w:rPr>
              <w:t xml:space="preserve">₹27.11 Lakh</w:t>
            </w:r>
          </w:p>
        </w:tc>
        <w:tc>
          <w:tcPr>
            <w:tcW w:type="dxa" w:w="1440"/>
          </w:tcPr>
          <w:p>
            <w:pPr>
              <w:jc w:val="center"/>
            </w:pPr>
            <w:r>
              <w:rPr>
                <w:rFonts w:ascii="Arial" w:hAnsi="Arial"/>
                <w:sz w:val="18"/>
              </w:rPr>
              <w:t xml:space="preserve">1.2995</w:t>
            </w:r>
          </w:p>
        </w:tc>
        <w:tc>
          <w:tcPr>
            <w:tcW w:type="dxa" w:w="1440"/>
          </w:tcPr>
          <w:p>
            <w:pPr>
              <w:jc w:val="center"/>
            </w:pPr>
            <w:r>
              <w:rPr>
                <w:rFonts w:ascii="Arial" w:hAnsi="Arial"/>
                <w:sz w:val="18"/>
              </w:rPr>
              <w:t xml:space="preserve">1.1707</w:t>
            </w:r>
          </w:p>
        </w:tc>
        <w:tc>
          <w:tcPr>
            <w:tcW w:type="dxa" w:w="1440"/>
          </w:tcPr>
          <w:p>
            <w:pPr>
              <w:jc w:val="center"/>
            </w:pPr>
            <w:r>
              <w:rPr>
                <w:rFonts w:ascii="Arial" w:hAnsi="Arial"/>
                <w:sz w:val="18"/>
              </w:rPr>
              <w:t xml:space="preserve">1.6310</w:t>
            </w:r>
          </w:p>
        </w:tc>
        <w:tc>
          <w:tcPr>
            <w:tcW w:type="dxa" w:w="1440"/>
          </w:tcPr>
          <w:p>
            <w:pPr>
              <w:jc w:val="center"/>
            </w:pPr>
            <w:r>
              <w:rPr>
                <w:rFonts w:ascii="Arial" w:hAnsi="Arial"/>
                <w:sz w:val="18"/>
              </w:rPr>
              <w:t xml:space="preserve">762</w:t>
            </w:r>
          </w:p>
        </w:tc>
        <w:tc>
          <w:tcPr>
            <w:tcW w:type="dxa" w:w="1440"/>
          </w:tcPr>
          <w:p>
            <w:pPr>
              <w:jc w:val="center"/>
            </w:pPr>
            <w:r>
              <w:rPr>
                <w:rFonts w:ascii="Arial" w:hAnsi="Arial"/>
                <w:sz w:val="18"/>
              </w:rPr>
              <w:t xml:space="preserve">APPROVED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1.2126</w:t>
            </w:r>
          </w:p>
        </w:tc>
        <w:tc>
          <w:tcPr>
            <w:tcW w:type="dxa" w:w="1440"/>
            <w:shd w:fill="F3F4F6"/>
          </w:tcPr>
          <w:p>
            <w:pPr>
              <w:jc w:val="center"/>
            </w:pPr>
            <w:r>
              <w:rPr>
                <w:rFonts w:ascii="Arial" w:hAnsi="Arial"/>
                <w:b/>
                <w:sz w:val="18"/>
              </w:rPr>
              <w:t xml:space="preserve">0.9226</w:t>
            </w:r>
          </w:p>
        </w:tc>
        <w:tc>
          <w:tcPr>
            <w:tcW w:type="dxa" w:w="1440"/>
            <w:shd w:fill="F3F4F6"/>
          </w:tcPr>
          <w:p>
            <w:pPr>
              <w:jc w:val="center"/>
            </w:pPr>
            <w:r>
              <w:rPr>
                <w:rFonts w:ascii="Arial" w:hAnsi="Arial"/>
                <w:b/>
                <w:sz w:val="18"/>
              </w:rPr>
              <w:t xml:space="preserve">1.7778</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 [DATA INSUFFICIENT]</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decision-making process has been tested for bias and has not indicated any unfair or biased outcomes. The model has been trained on a diverse dataset and has undergone regular audits to ensure fairness and transparency. However, the limited information available on Ganesh Textiles 741 LLP may still introduce some level of bias or uncertainty in the credit decision.</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0.00</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with the applicant has not revealed any significant red flags or concerns. However, the discussion has highlighted the need for the applicant to provide more information and complete the document upload and verification process to facilitate a thorough credit assessment.</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None</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