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Matrix Solutions 629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₹44.00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10 July 2026, 09:08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applicant, Matrix Solutions 629 Partnership Firm, operates in the Renewable Energy industry and has a HIGH overall Risk Band. The company's financial health is a concern, with a Bank Reconciliation Verdict of WARNING and a risk score of 0.235, leading to a decision of MANDATORY REVIEW. We recommend a thorough review of the loan application, considering the stress test failure and forensic alert.</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Matrix Solutions 629 Partnership Firm is a partnership firm operating in the Renewable Energy industry, with a revenue of ₹35.96 Cr and an EBITDA of ₹10.64 Cr. The company has a total debt of ₹20.29 Cr and a net worth of ₹14.38 Cr. The firm's industry position is not explicitly stated, but its financials indicate a significant presence in the market.</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STRONG DSCR (Above 1.2 threshold) as per the derived evaluation</w:t>
              <w:br/>
              <w:t xml:space="preserve">• STRONG ICR (Above 2.0 threshold) as per the derived evaluation</w:t>
              <w:br/>
              <w:t xml:space="preserve">• STRONG leverage (Below 2.0 threshold) as per the derived evaluation</w:t>
              <w:br/>
              <w:t xml:space="preserve">• Active MCA status with no defaulter history</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Stress Test Failed: Debt service capacity collapses under simulated stress</w:t>
              <w:br/>
              <w:t xml:space="preserve">• Forensic Alert: High Cheque Bounce Count (12 in 12 months)</w:t>
              <w:br/>
              <w:t xml:space="preserve">• CRITICAL stress verdict with a worst DSCR of -0.1941</w:t>
              <w:br/>
              <w:t xml:space="preserve">• WARNING Bank Reconciliation Verdict with a divergence percentage of 4.8</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Matrix Solutions 629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OHCFM4859N</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33OHCFM4859N1Z8</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Matrix Solutions 629 Partnership Firm</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Firm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2014-01-11</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finance@matrixsolutions629partnershipfirm.in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+91-7723981090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XXXX-XXXX-7715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Tamil Nadu, India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0.96</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NSDL_API_VERIFIED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2025-09-30</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93845998, 18850950</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2026-07-10T09:06:59.925218+00:00</w:t>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VERIFIED — All KYC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₹35.96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₹10.64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₹5.92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₹20.29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₹14.38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₹2.03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₹2.44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₹25.32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₹5.92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694</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64.3%</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3.1%</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66</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1.6770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5.2544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1.4108</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29.6%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12.4%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66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1.7%</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WARNING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₹35.96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₹35.96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₹5.92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₹2.16 Cr</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12</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[Computed Sentiment: POSITIVE] The company has a  news sentiment, with a total of 1 news article. The sentiment tag indicates a favorable outlook for the company, which could have a positive impact on its credit profile. However, the limited number of news articles may not provide a comprehensive view of the company's reputation.</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 company has no reported litigations, indicating a low litigation exposure. This is a positive indicator of the company's creditworthiness, as it suggests that the company is not involved in any significant legal disputes. The absence of litigations also reduces the risk of potential financial losses due to legal proceedings.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Renewable Energy industry is subject to various challenges, including regulatory changes, technological advancements, and market fluctuations. These headwinds could impact the company's financial performance and credit profile. However, the company's STRONG DSCR and ICR evaluations suggest that it may be well-positioned to navigate these challenges.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MANDATORY REVIEW</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HIGH</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0.2350</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HIGH</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v2.1_production</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₹37.80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944</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0.2414</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0.2336</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ltv_ratio</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0.2129</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0.1852</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leverage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0.1134</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 Stress Test Failed: Debt service capacity collapses under simulated stress.</w:t>
              <w:br/>
              <w:t xml:space="preserve">• Forensic Alert: High Cheque Bounce Count (12 in 12 months).</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Address the stress test failure by improving debt service capacity</w:t>
              <w:br/>
              <w:t xml:space="preserve">• Reduce cheque bounce count to mitigate forensic alert</w:t>
              <w:br/>
              <w:t xml:space="preserve">• Enhance financial performance to improve credit profile</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Sterling Logistics 671 LLP</w:t>
            </w:r>
          </w:p>
        </w:tc>
        <w:tc>
          <w:tcPr>
            <w:tcW w:type="dxa" w:w="1440"/>
          </w:tcPr>
          <w:p>
            <w:pPr>
              <w:jc w:val="center"/>
            </w:pPr>
            <w:r>
              <w:rPr>
                <w:rFonts w:ascii="Arial" w:hAnsi="Arial"/>
                <w:sz w:val="18"/>
              </w:rPr>
              <w:t xml:space="preserve">₹35.76 Cr</w:t>
            </w:r>
          </w:p>
        </w:tc>
        <w:tc>
          <w:tcPr>
            <w:tcW w:type="dxa" w:w="1440"/>
          </w:tcPr>
          <w:p>
            <w:pPr>
              <w:jc w:val="center"/>
            </w:pPr>
            <w:r>
              <w:rPr>
                <w:rFonts w:ascii="Arial" w:hAnsi="Arial"/>
                <w:sz w:val="18"/>
              </w:rPr>
              <w:t xml:space="preserve">2.2183</w:t>
            </w:r>
          </w:p>
        </w:tc>
        <w:tc>
          <w:tcPr>
            <w:tcW w:type="dxa" w:w="1440"/>
          </w:tcPr>
          <w:p>
            <w:pPr>
              <w:jc w:val="center"/>
            </w:pPr>
            <w:r>
              <w:rPr>
                <w:rFonts w:ascii="Arial" w:hAnsi="Arial"/>
                <w:sz w:val="18"/>
              </w:rPr>
              <w:t xml:space="preserve">5.2460</w:t>
            </w:r>
          </w:p>
        </w:tc>
        <w:tc>
          <w:tcPr>
            <w:tcW w:type="dxa" w:w="1440"/>
          </w:tcPr>
          <w:p>
            <w:pPr>
              <w:jc w:val="center"/>
            </w:pPr>
            <w:r>
              <w:rPr>
                <w:rFonts w:ascii="Arial" w:hAnsi="Arial"/>
                <w:sz w:val="18"/>
              </w:rPr>
              <w:t xml:space="preserve">1.5613</w:t>
            </w:r>
          </w:p>
        </w:tc>
        <w:tc>
          <w:tcPr>
            <w:tcW w:type="dxa" w:w="1440"/>
          </w:tcPr>
          <w:p>
            <w:pPr>
              <w:jc w:val="center"/>
            </w:pPr>
            <w:r>
              <w:rPr>
                <w:rFonts w:ascii="Arial" w:hAnsi="Arial"/>
                <w:sz w:val="18"/>
              </w:rPr>
              <w:t xml:space="preserve">721</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Tejas Metals 681 Partnership Firm</w:t>
            </w:r>
          </w:p>
        </w:tc>
        <w:tc>
          <w:tcPr>
            <w:tcW w:type="dxa" w:w="1440"/>
          </w:tcPr>
          <w:p>
            <w:pPr>
              <w:jc w:val="center"/>
            </w:pPr>
            <w:r>
              <w:rPr>
                <w:rFonts w:ascii="Arial" w:hAnsi="Arial"/>
                <w:sz w:val="18"/>
              </w:rPr>
              <w:t xml:space="preserve">₹36.17 Cr</w:t>
            </w:r>
          </w:p>
        </w:tc>
        <w:tc>
          <w:tcPr>
            <w:tcW w:type="dxa" w:w="1440"/>
          </w:tcPr>
          <w:p>
            <w:pPr>
              <w:jc w:val="center"/>
            </w:pPr>
            <w:r>
              <w:rPr>
                <w:rFonts w:ascii="Arial" w:hAnsi="Arial"/>
                <w:sz w:val="18"/>
              </w:rPr>
              <w:t xml:space="preserve">1.0505</w:t>
            </w:r>
          </w:p>
        </w:tc>
        <w:tc>
          <w:tcPr>
            <w:tcW w:type="dxa" w:w="1440"/>
          </w:tcPr>
          <w:p>
            <w:pPr>
              <w:jc w:val="center"/>
            </w:pPr>
            <w:r>
              <w:rPr>
                <w:rFonts w:ascii="Arial" w:hAnsi="Arial"/>
                <w:sz w:val="18"/>
              </w:rPr>
              <w:t xml:space="preserve">0.8684</w:t>
            </w:r>
          </w:p>
        </w:tc>
        <w:tc>
          <w:tcPr>
            <w:tcW w:type="dxa" w:w="1440"/>
          </w:tcPr>
          <w:p>
            <w:pPr>
              <w:jc w:val="center"/>
            </w:pPr>
            <w:r>
              <w:rPr>
                <w:rFonts w:ascii="Arial" w:hAnsi="Arial"/>
                <w:sz w:val="18"/>
              </w:rPr>
              <w:t xml:space="preserve">2.9707</w:t>
            </w:r>
          </w:p>
        </w:tc>
        <w:tc>
          <w:tcPr>
            <w:tcW w:type="dxa" w:w="1440"/>
          </w:tcPr>
          <w:p>
            <w:pPr>
              <w:jc w:val="center"/>
            </w:pPr>
            <w:r>
              <w:rPr>
                <w:rFonts w:ascii="Arial" w:hAnsi="Arial"/>
                <w:sz w:val="18"/>
              </w:rPr>
              <w:t xml:space="preserve">592</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Tejas Industries 928 Partnership Firm</w:t>
            </w:r>
          </w:p>
        </w:tc>
        <w:tc>
          <w:tcPr>
            <w:tcW w:type="dxa" w:w="1440"/>
          </w:tcPr>
          <w:p>
            <w:pPr>
              <w:jc w:val="center"/>
            </w:pPr>
            <w:r>
              <w:rPr>
                <w:rFonts w:ascii="Arial" w:hAnsi="Arial"/>
                <w:sz w:val="18"/>
              </w:rPr>
              <w:t xml:space="preserve">₹36.31 Cr</w:t>
            </w:r>
          </w:p>
        </w:tc>
        <w:tc>
          <w:tcPr>
            <w:tcW w:type="dxa" w:w="1440"/>
          </w:tcPr>
          <w:p>
            <w:pPr>
              <w:jc w:val="center"/>
            </w:pPr>
            <w:r>
              <w:rPr>
                <w:rFonts w:ascii="Arial" w:hAnsi="Arial"/>
                <w:sz w:val="18"/>
              </w:rPr>
              <w:t xml:space="preserve">1.8461</w:t>
            </w:r>
          </w:p>
        </w:tc>
        <w:tc>
          <w:tcPr>
            <w:tcW w:type="dxa" w:w="1440"/>
          </w:tcPr>
          <w:p>
            <w:pPr>
              <w:jc w:val="center"/>
            </w:pPr>
            <w:r>
              <w:rPr>
                <w:rFonts w:ascii="Arial" w:hAnsi="Arial"/>
                <w:sz w:val="18"/>
              </w:rPr>
              <w:t xml:space="preserve">3.2787</w:t>
            </w:r>
          </w:p>
        </w:tc>
        <w:tc>
          <w:tcPr>
            <w:tcW w:type="dxa" w:w="1440"/>
          </w:tcPr>
          <w:p>
            <w:pPr>
              <w:jc w:val="center"/>
            </w:pPr>
            <w:r>
              <w:rPr>
                <w:rFonts w:ascii="Arial" w:hAnsi="Arial"/>
                <w:sz w:val="18"/>
              </w:rPr>
              <w:t xml:space="preserve">2.0399</w:t>
            </w:r>
          </w:p>
        </w:tc>
        <w:tc>
          <w:tcPr>
            <w:tcW w:type="dxa" w:w="1440"/>
          </w:tcPr>
          <w:p>
            <w:pPr>
              <w:jc w:val="center"/>
            </w:pPr>
            <w:r>
              <w:rPr>
                <w:rFonts w:ascii="Arial" w:hAnsi="Arial"/>
                <w:sz w:val="18"/>
              </w:rPr>
              <w:t xml:space="preserve">750</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Hindustan Infotech 423 LLP</w:t>
            </w:r>
          </w:p>
        </w:tc>
        <w:tc>
          <w:tcPr>
            <w:tcW w:type="dxa" w:w="1440"/>
          </w:tcPr>
          <w:p>
            <w:pPr>
              <w:jc w:val="center"/>
            </w:pPr>
            <w:r>
              <w:rPr>
                <w:rFonts w:ascii="Arial" w:hAnsi="Arial"/>
                <w:sz w:val="18"/>
              </w:rPr>
              <w:t xml:space="preserve">₹35.55 Cr</w:t>
            </w:r>
          </w:p>
        </w:tc>
        <w:tc>
          <w:tcPr>
            <w:tcW w:type="dxa" w:w="1440"/>
          </w:tcPr>
          <w:p>
            <w:pPr>
              <w:jc w:val="center"/>
            </w:pPr>
            <w:r>
              <w:rPr>
                <w:rFonts w:ascii="Arial" w:hAnsi="Arial"/>
                <w:sz w:val="18"/>
              </w:rPr>
              <w:t xml:space="preserve">1.3637</w:t>
            </w:r>
          </w:p>
        </w:tc>
        <w:tc>
          <w:tcPr>
            <w:tcW w:type="dxa" w:w="1440"/>
          </w:tcPr>
          <w:p>
            <w:pPr>
              <w:jc w:val="center"/>
            </w:pPr>
            <w:r>
              <w:rPr>
                <w:rFonts w:ascii="Arial" w:hAnsi="Arial"/>
                <w:sz w:val="18"/>
              </w:rPr>
              <w:t xml:space="preserve">1.0542</w:t>
            </w:r>
          </w:p>
        </w:tc>
        <w:tc>
          <w:tcPr>
            <w:tcW w:type="dxa" w:w="1440"/>
          </w:tcPr>
          <w:p>
            <w:pPr>
              <w:jc w:val="center"/>
            </w:pPr>
            <w:r>
              <w:rPr>
                <w:rFonts w:ascii="Arial" w:hAnsi="Arial"/>
                <w:sz w:val="18"/>
              </w:rPr>
              <w:t xml:space="preserve">4.1442</w:t>
            </w:r>
          </w:p>
        </w:tc>
        <w:tc>
          <w:tcPr>
            <w:tcW w:type="dxa" w:w="1440"/>
          </w:tcPr>
          <w:p>
            <w:pPr>
              <w:jc w:val="center"/>
            </w:pPr>
            <w:r>
              <w:rPr>
                <w:rFonts w:ascii="Arial" w:hAnsi="Arial"/>
                <w:sz w:val="18"/>
              </w:rPr>
              <w:t xml:space="preserve">622</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Vanguard Industries 611 Partnership Firm</w:t>
            </w:r>
          </w:p>
        </w:tc>
        <w:tc>
          <w:tcPr>
            <w:tcW w:type="dxa" w:w="1440"/>
          </w:tcPr>
          <w:p>
            <w:pPr>
              <w:jc w:val="center"/>
            </w:pPr>
            <w:r>
              <w:rPr>
                <w:rFonts w:ascii="Arial" w:hAnsi="Arial"/>
                <w:sz w:val="18"/>
              </w:rPr>
              <w:t xml:space="preserve">₹36.41 Cr</w:t>
            </w:r>
          </w:p>
        </w:tc>
        <w:tc>
          <w:tcPr>
            <w:tcW w:type="dxa" w:w="1440"/>
          </w:tcPr>
          <w:p>
            <w:pPr>
              <w:jc w:val="center"/>
            </w:pPr>
            <w:r>
              <w:rPr>
                <w:rFonts w:ascii="Arial" w:hAnsi="Arial"/>
                <w:sz w:val="18"/>
              </w:rPr>
              <w:t xml:space="preserve">1.6745</w:t>
            </w:r>
          </w:p>
        </w:tc>
        <w:tc>
          <w:tcPr>
            <w:tcW w:type="dxa" w:w="1440"/>
          </w:tcPr>
          <w:p>
            <w:pPr>
              <w:jc w:val="center"/>
            </w:pPr>
            <w:r>
              <w:rPr>
                <w:rFonts w:ascii="Arial" w:hAnsi="Arial"/>
                <w:sz w:val="18"/>
              </w:rPr>
              <w:t xml:space="preserve">3.0214</w:t>
            </w:r>
          </w:p>
        </w:tc>
        <w:tc>
          <w:tcPr>
            <w:tcW w:type="dxa" w:w="1440"/>
          </w:tcPr>
          <w:p>
            <w:pPr>
              <w:jc w:val="center"/>
            </w:pPr>
            <w:r>
              <w:rPr>
                <w:rFonts w:ascii="Arial" w:hAnsi="Arial"/>
                <w:sz w:val="18"/>
              </w:rPr>
              <w:t xml:space="preserve">1.8369</w:t>
            </w:r>
          </w:p>
        </w:tc>
        <w:tc>
          <w:tcPr>
            <w:tcW w:type="dxa" w:w="1440"/>
          </w:tcPr>
          <w:p>
            <w:pPr>
              <w:jc w:val="center"/>
            </w:pPr>
            <w:r>
              <w:rPr>
                <w:rFonts w:ascii="Arial" w:hAnsi="Arial"/>
                <w:sz w:val="18"/>
              </w:rPr>
              <w:t xml:space="preserve">706</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1.5110</w:t>
            </w:r>
          </w:p>
        </w:tc>
        <w:tc>
          <w:tcPr>
            <w:tcW w:type="dxa" w:w="1440"/>
            <w:shd w:fill="F3F4F6"/>
          </w:tcPr>
          <w:p>
            <w:pPr>
              <w:jc w:val="center"/>
            </w:pPr>
            <w:r>
              <w:rPr>
                <w:rFonts w:ascii="Arial" w:hAnsi="Arial"/>
                <w:b/>
                <w:sz w:val="18"/>
              </w:rPr>
              <w:t xml:space="preserve">2.4224</w:t>
            </w:r>
          </w:p>
        </w:tc>
        <w:tc>
          <w:tcPr>
            <w:tcW w:type="dxa" w:w="1440"/>
            <w:shd w:fill="F3F4F6"/>
          </w:tcPr>
          <w:p>
            <w:pPr>
              <w:jc w:val="center"/>
            </w:pPr>
            <w:r>
              <w:rPr>
                <w:rFonts w:ascii="Arial" w:hAnsi="Arial"/>
                <w:b/>
                <w:sz w:val="18"/>
              </w:rPr>
              <w:t xml:space="preserve">2.2331</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-0.1941</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 (Assumes 100% Floating Debt)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2.1871</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-0.1780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CRITICAL</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-0.1941</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CRITICAL</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shown no signs of bias, with 0 flips. This suggests that the decision is fair and unbiased, and is based solely on the company's financial data and credit profile. The absence of bias ensures that the decision is objective and reliable.</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No personal discussion was conducted; recommend scheduling one before final sign-off.</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