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Radhe Pharma 432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₹12.00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06 July 2026, 18:15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from Radhe Pharma 432 LLP is currently pending due to insufficient data, with a risk verdict of DATA_INSUFFICIENT. The company's financial health cannot be accurately assessed, and therefore, a recommendation cannot be made at this time. The applicant needs to provide complete documentation and verification to proceed with the credit evaluation. The bank's verdict is also pending, with a divergence percentage of 3.4, indicating some discrepancy in the application.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Radhe Pharma 432 LLP operates in the Retail Trade industry, with limited information available on its market position and operations. The company's GST status is OK, with a minor discrepancy percentage of 1.25, indicating some irregularities in its GST filings. Further information is required to assess the company's business overview accurately.</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The company has a GST status of OK, indicating compliance with GST regulations.</w:t>
              <w:br/>
              <w:t xml:space="preserve">• The discrepancy percentage in GST filings is relatively low at 1.25.</w:t>
              <w:br/>
              <w:t xml:space="preserve">• The company has no circular trade, indicating a low risk of money laundering.</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The company's financial metrics, such as revenue and EBITDA, are missing or incomplete.</w:t>
              <w:br/>
              <w:t xml:space="preserve">• The PAN verification is pending or failed, raising concerns about the company's identity and credibility.</w:t>
              <w:br/>
              <w:t xml:space="preserve">• The document compliance is pending or non-compliant, indicating potential regulatory risks.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Radhe Pharma 432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KIAFR0728Z</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09KIAFR0728Z5Z8</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N/A</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1.1924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0.1759</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1.3867</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16.8%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1.2%</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3.4%</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₹1.71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Radhe Pharma 432 LLP, with only one news article found, providing insufficient information to assess the company's news sentiment. Further research is required to determine the company's reputation and potential risks. The lack of news coverage may indicate a relatively low public profile for the company.</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Radhe Pharma 432 LLP has no reported litigations, indicating a low risk of legal disputes. However, the company's unknown MCA status and potential defaulter status raise concerns about its regulatory compliance. The company's litigation exposure appears to be minimal, but further verification is required to confirm this assessment.</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Retail Trade industry is subject to various challenges, including intense competition, changing consumer preferences, and regulatory requirements. The company's ability to navigate these headwinds will depend on its business strategy, operational efficiency, and adaptability. The industry's growth prospects and potential risks need to be carefully evaluated to assess the company's creditworthiness.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DATA_INSUFFICIENT</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UNKNOWN</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₹0.00</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0</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PAN verification is PENDING or FAILED.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Document compliance is PENDING or Non-Compliant.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Bank Reconciliation is PENDING or missing.</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Core financial metrics (Revenue/DSCR) are missing or 'Data pending'.</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N/A</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N/A</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PAN verification is PENDING or FAILED.</w:t>
              <w:br/>
              <w:t xml:space="preserve">• Document compliance is PENDING or Non-Compliant.</w:t>
              <w:br/>
              <w:t xml:space="preserve">• Bank Reconciliation is PENDING or missing.</w:t>
              <w:br/>
              <w:t xml:space="preserve">• Core financial metrics (Revenue/DSCR) are missing or 'Data pending'.</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Complete document upload and verification before scoring.</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Ganesh Infrastructure 281 LLP</w:t>
            </w:r>
          </w:p>
        </w:tc>
        <w:tc>
          <w:tcPr>
            <w:tcW w:type="dxa" w:w="1440"/>
          </w:tcPr>
          <w:p>
            <w:pPr>
              <w:jc w:val="center"/>
            </w:pPr>
            <w:r>
              <w:rPr>
                <w:rFonts w:ascii="Arial" w:hAnsi="Arial"/>
                <w:sz w:val="18"/>
              </w:rPr>
              <w:t xml:space="preserve">₹21.88 Lakh</w:t>
            </w:r>
          </w:p>
        </w:tc>
        <w:tc>
          <w:tcPr>
            <w:tcW w:type="dxa" w:w="1440"/>
          </w:tcPr>
          <w:p>
            <w:pPr>
              <w:jc w:val="center"/>
            </w:pPr>
            <w:r>
              <w:rPr>
                <w:rFonts w:ascii="Arial" w:hAnsi="Arial"/>
                <w:sz w:val="18"/>
              </w:rPr>
              <w:t xml:space="preserve">1.6439</w:t>
            </w:r>
          </w:p>
        </w:tc>
        <w:tc>
          <w:tcPr>
            <w:tcW w:type="dxa" w:w="1440"/>
          </w:tcPr>
          <w:p>
            <w:pPr>
              <w:jc w:val="center"/>
            </w:pPr>
            <w:r>
              <w:rPr>
                <w:rFonts w:ascii="Arial" w:hAnsi="Arial"/>
                <w:sz w:val="18"/>
              </w:rPr>
              <w:t xml:space="preserve">1.0476</w:t>
            </w:r>
          </w:p>
        </w:tc>
        <w:tc>
          <w:tcPr>
            <w:tcW w:type="dxa" w:w="1440"/>
          </w:tcPr>
          <w:p>
            <w:pPr>
              <w:jc w:val="center"/>
            </w:pPr>
            <w:r>
              <w:rPr>
                <w:rFonts w:ascii="Arial" w:hAnsi="Arial"/>
                <w:sz w:val="18"/>
              </w:rPr>
              <w:t xml:space="preserve">1.1672</w:t>
            </w:r>
          </w:p>
        </w:tc>
        <w:tc>
          <w:tcPr>
            <w:tcW w:type="dxa" w:w="1440"/>
          </w:tcPr>
          <w:p>
            <w:pPr>
              <w:jc w:val="center"/>
            </w:pPr>
            <w:r>
              <w:rPr>
                <w:rFonts w:ascii="Arial" w:hAnsi="Arial"/>
                <w:sz w:val="18"/>
              </w:rPr>
              <w:t xml:space="preserve">722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Ganesh Automotive 826 Private Limited</w:t>
            </w:r>
          </w:p>
        </w:tc>
        <w:tc>
          <w:tcPr>
            <w:tcW w:type="dxa" w:w="1440"/>
          </w:tcPr>
          <w:p>
            <w:pPr>
              <w:jc w:val="center"/>
            </w:pPr>
            <w:r>
              <w:rPr>
                <w:rFonts w:ascii="Arial" w:hAnsi="Arial"/>
                <w:sz w:val="18"/>
              </w:rPr>
              <w:t xml:space="preserve">₹26.06 Lakh</w:t>
            </w:r>
          </w:p>
        </w:tc>
        <w:tc>
          <w:tcPr>
            <w:tcW w:type="dxa" w:w="1440"/>
          </w:tcPr>
          <w:p>
            <w:pPr>
              <w:jc w:val="center"/>
            </w:pPr>
            <w:r>
              <w:rPr>
                <w:rFonts w:ascii="Arial" w:hAnsi="Arial"/>
                <w:sz w:val="18"/>
              </w:rPr>
              <w:t xml:space="preserve">1.8164</w:t>
            </w:r>
          </w:p>
        </w:tc>
        <w:tc>
          <w:tcPr>
            <w:tcW w:type="dxa" w:w="1440"/>
          </w:tcPr>
          <w:p>
            <w:pPr>
              <w:jc w:val="center"/>
            </w:pPr>
            <w:r>
              <w:rPr>
                <w:rFonts w:ascii="Arial" w:hAnsi="Arial"/>
                <w:sz w:val="18"/>
              </w:rPr>
              <w:t xml:space="preserve">1.5893</w:t>
            </w:r>
          </w:p>
        </w:tc>
        <w:tc>
          <w:tcPr>
            <w:tcW w:type="dxa" w:w="1440"/>
          </w:tcPr>
          <w:p>
            <w:pPr>
              <w:jc w:val="center"/>
            </w:pPr>
            <w:r>
              <w:rPr>
                <w:rFonts w:ascii="Arial" w:hAnsi="Arial"/>
                <w:sz w:val="18"/>
              </w:rPr>
              <w:t xml:space="preserve">1.2341</w:t>
            </w:r>
          </w:p>
        </w:tc>
        <w:tc>
          <w:tcPr>
            <w:tcW w:type="dxa" w:w="1440"/>
          </w:tcPr>
          <w:p>
            <w:pPr>
              <w:jc w:val="center"/>
            </w:pPr>
            <w:r>
              <w:rPr>
                <w:rFonts w:ascii="Arial" w:hAnsi="Arial"/>
                <w:sz w:val="18"/>
              </w:rPr>
              <w:t xml:space="preserve">775</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Builders 938 LLP</w:t>
            </w:r>
          </w:p>
        </w:tc>
        <w:tc>
          <w:tcPr>
            <w:tcW w:type="dxa" w:w="1440"/>
          </w:tcPr>
          <w:p>
            <w:pPr>
              <w:jc w:val="center"/>
            </w:pPr>
            <w:r>
              <w:rPr>
                <w:rFonts w:ascii="Arial" w:hAnsi="Arial"/>
                <w:sz w:val="18"/>
              </w:rPr>
              <w:t xml:space="preserve">₹27.71 Lakh</w:t>
            </w:r>
          </w:p>
        </w:tc>
        <w:tc>
          <w:tcPr>
            <w:tcW w:type="dxa" w:w="1440"/>
          </w:tcPr>
          <w:p>
            <w:pPr>
              <w:jc w:val="center"/>
            </w:pPr>
            <w:r>
              <w:rPr>
                <w:rFonts w:ascii="Arial" w:hAnsi="Arial"/>
                <w:sz w:val="18"/>
              </w:rPr>
              <w:t xml:space="preserve">1.9080</w:t>
            </w:r>
          </w:p>
        </w:tc>
        <w:tc>
          <w:tcPr>
            <w:tcW w:type="dxa" w:w="1440"/>
          </w:tcPr>
          <w:p>
            <w:pPr>
              <w:jc w:val="center"/>
            </w:pPr>
            <w:r>
              <w:rPr>
                <w:rFonts w:ascii="Arial" w:hAnsi="Arial"/>
                <w:sz w:val="18"/>
              </w:rPr>
              <w:t xml:space="preserve">1.0853</w:t>
            </w:r>
          </w:p>
        </w:tc>
        <w:tc>
          <w:tcPr>
            <w:tcW w:type="dxa" w:w="1440"/>
          </w:tcPr>
          <w:p>
            <w:pPr>
              <w:jc w:val="center"/>
            </w:pPr>
            <w:r>
              <w:rPr>
                <w:rFonts w:ascii="Arial" w:hAnsi="Arial"/>
                <w:sz w:val="18"/>
              </w:rPr>
              <w:t xml:space="preserve">0.8798</w:t>
            </w:r>
          </w:p>
        </w:tc>
        <w:tc>
          <w:tcPr>
            <w:tcW w:type="dxa" w:w="1440"/>
          </w:tcPr>
          <w:p>
            <w:pPr>
              <w:jc w:val="center"/>
            </w:pPr>
            <w:r>
              <w:rPr>
                <w:rFonts w:ascii="Arial" w:hAnsi="Arial"/>
                <w:sz w:val="18"/>
              </w:rPr>
              <w:t xml:space="preserve">782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Matrix Logistics 317 Private Limited</w:t>
            </w:r>
          </w:p>
        </w:tc>
        <w:tc>
          <w:tcPr>
            <w:tcW w:type="dxa" w:w="1440"/>
          </w:tcPr>
          <w:p>
            <w:pPr>
              <w:jc w:val="center"/>
            </w:pPr>
            <w:r>
              <w:rPr>
                <w:rFonts w:ascii="Arial" w:hAnsi="Arial"/>
                <w:sz w:val="18"/>
              </w:rPr>
              <w:t xml:space="preserve">₹27.79 Lakh</w:t>
            </w:r>
          </w:p>
        </w:tc>
        <w:tc>
          <w:tcPr>
            <w:tcW w:type="dxa" w:w="1440"/>
          </w:tcPr>
          <w:p>
            <w:pPr>
              <w:jc w:val="center"/>
            </w:pPr>
            <w:r>
              <w:rPr>
                <w:rFonts w:ascii="Arial" w:hAnsi="Arial"/>
                <w:sz w:val="18"/>
              </w:rPr>
              <w:t xml:space="preserve">2.2265</w:t>
            </w:r>
          </w:p>
        </w:tc>
        <w:tc>
          <w:tcPr>
            <w:tcW w:type="dxa" w:w="1440"/>
          </w:tcPr>
          <w:p>
            <w:pPr>
              <w:jc w:val="center"/>
            </w:pPr>
            <w:r>
              <w:rPr>
                <w:rFonts w:ascii="Arial" w:hAnsi="Arial"/>
                <w:sz w:val="18"/>
              </w:rPr>
              <w:t xml:space="preserve">2.0101</w:t>
            </w:r>
          </w:p>
        </w:tc>
        <w:tc>
          <w:tcPr>
            <w:tcW w:type="dxa" w:w="1440"/>
          </w:tcPr>
          <w:p>
            <w:pPr>
              <w:jc w:val="center"/>
            </w:pPr>
            <w:r>
              <w:rPr>
                <w:rFonts w:ascii="Arial" w:hAnsi="Arial"/>
                <w:sz w:val="18"/>
              </w:rPr>
              <w:t xml:space="preserve">0.6047</w:t>
            </w:r>
          </w:p>
        </w:tc>
        <w:tc>
          <w:tcPr>
            <w:tcW w:type="dxa" w:w="1440"/>
          </w:tcPr>
          <w:p>
            <w:pPr>
              <w:jc w:val="center"/>
            </w:pPr>
            <w:r>
              <w:rPr>
                <w:rFonts w:ascii="Arial" w:hAnsi="Arial"/>
                <w:sz w:val="18"/>
              </w:rPr>
              <w:t xml:space="preserve">689</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Apex Textiles 288 Partnership Firm</w:t>
            </w:r>
          </w:p>
        </w:tc>
        <w:tc>
          <w:tcPr>
            <w:tcW w:type="dxa" w:w="1440"/>
          </w:tcPr>
          <w:p>
            <w:pPr>
              <w:jc w:val="center"/>
            </w:pPr>
            <w:r>
              <w:rPr>
                <w:rFonts w:ascii="Arial" w:hAnsi="Arial"/>
                <w:sz w:val="18"/>
              </w:rPr>
              <w:t xml:space="preserve">₹28.12 Lakh</w:t>
            </w:r>
          </w:p>
        </w:tc>
        <w:tc>
          <w:tcPr>
            <w:tcW w:type="dxa" w:w="1440"/>
          </w:tcPr>
          <w:p>
            <w:pPr>
              <w:jc w:val="center"/>
            </w:pPr>
            <w:r>
              <w:rPr>
                <w:rFonts w:ascii="Arial" w:hAnsi="Arial"/>
                <w:sz w:val="18"/>
              </w:rPr>
              <w:t xml:space="preserve">1.4664</w:t>
            </w:r>
          </w:p>
        </w:tc>
        <w:tc>
          <w:tcPr>
            <w:tcW w:type="dxa" w:w="1440"/>
          </w:tcPr>
          <w:p>
            <w:pPr>
              <w:jc w:val="center"/>
            </w:pPr>
            <w:r>
              <w:rPr>
                <w:rFonts w:ascii="Arial" w:hAnsi="Arial"/>
                <w:sz w:val="18"/>
              </w:rPr>
              <w:t xml:space="preserve">0.8248</w:t>
            </w:r>
          </w:p>
        </w:tc>
        <w:tc>
          <w:tcPr>
            <w:tcW w:type="dxa" w:w="1440"/>
          </w:tcPr>
          <w:p>
            <w:pPr>
              <w:jc w:val="center"/>
            </w:pPr>
            <w:r>
              <w:rPr>
                <w:rFonts w:ascii="Arial" w:hAnsi="Arial"/>
                <w:sz w:val="18"/>
              </w:rPr>
              <w:t xml:space="preserve">1.2737</w:t>
            </w:r>
          </w:p>
        </w:tc>
        <w:tc>
          <w:tcPr>
            <w:tcW w:type="dxa" w:w="1440"/>
          </w:tcPr>
          <w:p>
            <w:pPr>
              <w:jc w:val="center"/>
            </w:pPr>
            <w:r>
              <w:rPr>
                <w:rFonts w:ascii="Arial" w:hAnsi="Arial"/>
                <w:sz w:val="18"/>
              </w:rPr>
              <w:t xml:space="preserve">738</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1.4899</w:t>
            </w:r>
          </w:p>
        </w:tc>
        <w:tc>
          <w:tcPr>
            <w:tcW w:type="dxa" w:w="1440"/>
            <w:shd w:fill="F3F4F6"/>
          </w:tcPr>
          <w:p>
            <w:pPr>
              <w:jc w:val="center"/>
            </w:pPr>
            <w:r>
              <w:rPr>
                <w:rFonts w:ascii="Arial" w:hAnsi="Arial"/>
                <w:b/>
                <w:sz w:val="18"/>
              </w:rPr>
              <w:t xml:space="preserve">0.7912</w:t>
            </w:r>
          </w:p>
        </w:tc>
        <w:tc>
          <w:tcPr>
            <w:tcW w:type="dxa" w:w="1440"/>
            <w:shd w:fill="F3F4F6"/>
          </w:tcPr>
          <w:p>
            <w:pPr>
              <w:jc w:val="center"/>
            </w:pPr>
            <w:r>
              <w:rPr>
                <w:rFonts w:ascii="Arial" w:hAnsi="Arial"/>
                <w:b/>
                <w:sz w:val="18"/>
              </w:rPr>
              <w:t xml:space="preserve">1.2957</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with no flips detected, indicating a fair and unbiased assessment. However, the limited data available on the company may have introduced some bias in the evaluation. The credit evaluation process should be continuously monitored to ensure fairness and accuracy.</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therefore, no summary can be provided. However, it is essential to conduct a personal discussion with the applicant to gather more information and assess their creditworthiness. The discussion should focus on the company's business operations, financial performance, and growth prospects to determine its credit profile.</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