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Bhaskar Pharma 586 LLP</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21 June 2026, 15:42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Bhaskar Pharma 586 LLP, an IT Services company, has a relatively healthy financial profile with a low risk score of 0.0785, indicating a low credit risk. The risk verdict is 'APPROVE' based on the AI analysis. We recommend approving the loan application, considering the company's stable financial position and low leverage of 0.8188. The decision is further supported by the company's ability to survive stress scenarios with a worst-case DSCR of 1.8.</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Bhaskar Pharma 586 LLP operates in the IT Services industry, with an unknown market position due to limited information. The company has a GST status of 'OK' with a low discrepancy percentage of 1.87. The industry is highly competitive, but the company's financial health and low leverage suggest a stable business profile.</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0.0785, indicating a low credit risk</w:t>
              <w:br/>
              <w:t xml:space="preserve">• Healthy DSCR of 1.7526, indicating a stable debt servicing capability</w:t>
              <w:br/>
              <w:t xml:space="preserve">• Low leverage of 0.8188, indicating a manageable debt burden</w:t>
              <w:br/>
              <w:t xml:space="preserve">• No litigations or circular trades, indicating a clean business profile</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Unknown market position in the IT Services industry</w:t>
              <w:br/>
              <w:t xml:space="preserve">• Limited financial information, including no revenue or ebitda data</w:t>
              <w:br/>
              <w:t xml:space="preserve">• No CIBIL score available, making it difficult to assess credit history</w:t>
              <w:br/>
              <w:t xml:space="preserve">• Low news count of 1, indicating limited public information</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Bhaskar Pharma 586 LLP</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UBCFB7907B</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06UBCFB7907B5ZH</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AAAB1234</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Bhaskar Pharma 586 LLP</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01-01-2010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bhaskarpharma586@gmail.com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9999999999</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123, Sector 45, Gurgaon, Haryana - 122001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95.6%</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['0123456789', '9876543210']</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₹2.00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₹25.00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750</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1.7526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3.7864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0.8188</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14.5%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11.2%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1.9%</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MATCH</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₹100.00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₹45.00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₹12.00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5.6%</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₹11.01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Bhaskar Pharma 586 LLP, with only one news article found. The sentiment of the news is unknown due to the lack of information. Further research is required to understand the company's public profile and reputation.</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Bhaskar Pharma 586 LLP has no litigations, indicating a clean business profile. The company has also not been identified as a defaulter in the MCA records. This suggests a low risk of legal issues affecting the company's operations.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IT Services industry is highly competitive, with many players operating in the market. The industry is also subject to technological disruptions and changing customer demands. However, Bhaskar Pharma 586 LLP's financial health and low leverage suggest that it is well-positioned to navigate these challenges.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0.0785</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₹21.92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881</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3"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0.1588</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0.0781</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0.0670</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0.0025</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0.0021</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4"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more detailed financial information, including revenue and ebitda data</w:t>
              <w:br/>
              <w:t xml:space="preserve">• Obtain a CIBIL score to assess credit history</w:t>
              <w:br/>
              <w:t xml:space="preserve">• Improve public profile and reputation through increased media presence</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Ganesh Logistics Private Limited</w:t>
            </w:r>
          </w:p>
        </w:tc>
        <w:tc>
          <w:tcPr>
            <w:tcW w:type="dxa" w:w="1440"/>
          </w:tcPr>
          <w:p>
            <w:pPr>
              <w:jc w:val="center"/>
            </w:pPr>
            <w:r>
              <w:rPr>
                <w:rFonts w:ascii="Arial" w:hAnsi="Arial"/>
                <w:sz w:val="18"/>
              </w:rPr>
              <w:t xml:space="preserve">₹24.14 Lakh</w:t>
            </w:r>
          </w:p>
        </w:tc>
        <w:tc>
          <w:tcPr>
            <w:tcW w:type="dxa" w:w="1440"/>
          </w:tcPr>
          <w:p>
            <w:pPr>
              <w:jc w:val="center"/>
            </w:pPr>
            <w:r>
              <w:rPr>
                <w:rFonts w:ascii="Arial" w:hAnsi="Arial"/>
                <w:sz w:val="18"/>
              </w:rPr>
              <w:t xml:space="preserve">1.9591</w:t>
            </w:r>
          </w:p>
        </w:tc>
        <w:tc>
          <w:tcPr>
            <w:tcW w:type="dxa" w:w="1440"/>
          </w:tcPr>
          <w:p>
            <w:pPr>
              <w:jc w:val="center"/>
            </w:pPr>
            <w:r>
              <w:rPr>
                <w:rFonts w:ascii="Arial" w:hAnsi="Arial"/>
                <w:sz w:val="18"/>
              </w:rPr>
              <w:t xml:space="preserve">5.3052</w:t>
            </w:r>
          </w:p>
        </w:tc>
        <w:tc>
          <w:tcPr>
            <w:tcW w:type="dxa" w:w="1440"/>
          </w:tcPr>
          <w:p>
            <w:pPr>
              <w:jc w:val="center"/>
            </w:pPr>
            <w:r>
              <w:rPr>
                <w:rFonts w:ascii="Arial" w:hAnsi="Arial"/>
                <w:sz w:val="18"/>
              </w:rPr>
              <w:t xml:space="preserve">0.7144</w:t>
            </w:r>
          </w:p>
        </w:tc>
        <w:tc>
          <w:tcPr>
            <w:tcW w:type="dxa" w:w="1440"/>
          </w:tcPr>
          <w:p>
            <w:pPr>
              <w:jc w:val="center"/>
            </w:pPr>
            <w:r>
              <w:rPr>
                <w:rFonts w:ascii="Arial" w:hAnsi="Arial"/>
                <w:sz w:val="18"/>
              </w:rPr>
              <w:t xml:space="preserve">714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Apex Infotech 124 LLP</w:t>
            </w:r>
          </w:p>
        </w:tc>
        <w:tc>
          <w:tcPr>
            <w:tcW w:type="dxa" w:w="1440"/>
          </w:tcPr>
          <w:p>
            <w:pPr>
              <w:jc w:val="center"/>
            </w:pPr>
            <w:r>
              <w:rPr>
                <w:rFonts w:ascii="Arial" w:hAnsi="Arial"/>
                <w:sz w:val="18"/>
              </w:rPr>
              <w:t xml:space="preserve">₹24.30 Lakh</w:t>
            </w:r>
          </w:p>
        </w:tc>
        <w:tc>
          <w:tcPr>
            <w:tcW w:type="dxa" w:w="1440"/>
          </w:tcPr>
          <w:p>
            <w:pPr>
              <w:jc w:val="center"/>
            </w:pPr>
            <w:r>
              <w:rPr>
                <w:rFonts w:ascii="Arial" w:hAnsi="Arial"/>
                <w:sz w:val="18"/>
              </w:rPr>
              <w:t xml:space="preserve">2.4271</w:t>
            </w:r>
          </w:p>
        </w:tc>
        <w:tc>
          <w:tcPr>
            <w:tcW w:type="dxa" w:w="1440"/>
          </w:tcPr>
          <w:p>
            <w:pPr>
              <w:jc w:val="center"/>
            </w:pPr>
            <w:r>
              <w:rPr>
                <w:rFonts w:ascii="Arial" w:hAnsi="Arial"/>
                <w:sz w:val="18"/>
              </w:rPr>
              <w:t xml:space="preserve">5.6669</w:t>
            </w:r>
          </w:p>
        </w:tc>
        <w:tc>
          <w:tcPr>
            <w:tcW w:type="dxa" w:w="1440"/>
          </w:tcPr>
          <w:p>
            <w:pPr>
              <w:jc w:val="center"/>
            </w:pPr>
            <w:r>
              <w:rPr>
                <w:rFonts w:ascii="Arial" w:hAnsi="Arial"/>
                <w:sz w:val="18"/>
              </w:rPr>
              <w:t xml:space="preserve">0.6367</w:t>
            </w:r>
          </w:p>
        </w:tc>
        <w:tc>
          <w:tcPr>
            <w:tcW w:type="dxa" w:w="1440"/>
          </w:tcPr>
          <w:p>
            <w:pPr>
              <w:jc w:val="center"/>
            </w:pPr>
            <w:r>
              <w:rPr>
                <w:rFonts w:ascii="Arial" w:hAnsi="Arial"/>
                <w:sz w:val="18"/>
              </w:rPr>
              <w:t xml:space="preserve">746</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Ambika Automotive 880 Partnership Firm</w:t>
            </w:r>
          </w:p>
        </w:tc>
        <w:tc>
          <w:tcPr>
            <w:tcW w:type="dxa" w:w="1440"/>
          </w:tcPr>
          <w:p>
            <w:pPr>
              <w:jc w:val="center"/>
            </w:pPr>
            <w:r>
              <w:rPr>
                <w:rFonts w:ascii="Arial" w:hAnsi="Arial"/>
                <w:sz w:val="18"/>
              </w:rPr>
              <w:t xml:space="preserve">₹26.32 Lakh</w:t>
            </w:r>
          </w:p>
        </w:tc>
        <w:tc>
          <w:tcPr>
            <w:tcW w:type="dxa" w:w="1440"/>
          </w:tcPr>
          <w:p>
            <w:pPr>
              <w:jc w:val="center"/>
            </w:pPr>
            <w:r>
              <w:rPr>
                <w:rFonts w:ascii="Arial" w:hAnsi="Arial"/>
                <w:sz w:val="18"/>
              </w:rPr>
              <w:t xml:space="preserve">2.0261</w:t>
            </w:r>
          </w:p>
        </w:tc>
        <w:tc>
          <w:tcPr>
            <w:tcW w:type="dxa" w:w="1440"/>
          </w:tcPr>
          <w:p>
            <w:pPr>
              <w:jc w:val="center"/>
            </w:pPr>
            <w:r>
              <w:rPr>
                <w:rFonts w:ascii="Arial" w:hAnsi="Arial"/>
                <w:sz w:val="18"/>
              </w:rPr>
              <w:t xml:space="preserve">5.1546</w:t>
            </w:r>
          </w:p>
        </w:tc>
        <w:tc>
          <w:tcPr>
            <w:tcW w:type="dxa" w:w="1440"/>
          </w:tcPr>
          <w:p>
            <w:pPr>
              <w:jc w:val="center"/>
            </w:pPr>
            <w:r>
              <w:rPr>
                <w:rFonts w:ascii="Arial" w:hAnsi="Arial"/>
                <w:sz w:val="18"/>
              </w:rPr>
              <w:t xml:space="preserve">0.7405</w:t>
            </w:r>
          </w:p>
        </w:tc>
        <w:tc>
          <w:tcPr>
            <w:tcW w:type="dxa" w:w="1440"/>
          </w:tcPr>
          <w:p>
            <w:pPr>
              <w:jc w:val="center"/>
            </w:pPr>
            <w:r>
              <w:rPr>
                <w:rFonts w:ascii="Arial" w:hAnsi="Arial"/>
                <w:sz w:val="18"/>
              </w:rPr>
              <w:t xml:space="preserve">773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Infinity Industries 710 Partnership Firm</w:t>
            </w:r>
          </w:p>
        </w:tc>
        <w:tc>
          <w:tcPr>
            <w:tcW w:type="dxa" w:w="1440"/>
          </w:tcPr>
          <w:p>
            <w:pPr>
              <w:jc w:val="center"/>
            </w:pPr>
            <w:r>
              <w:rPr>
                <w:rFonts w:ascii="Arial" w:hAnsi="Arial"/>
                <w:sz w:val="18"/>
              </w:rPr>
              <w:t xml:space="preserve">₹27.23 Lakh</w:t>
            </w:r>
          </w:p>
        </w:tc>
        <w:tc>
          <w:tcPr>
            <w:tcW w:type="dxa" w:w="1440"/>
          </w:tcPr>
          <w:p>
            <w:pPr>
              <w:jc w:val="center"/>
            </w:pPr>
            <w:r>
              <w:rPr>
                <w:rFonts w:ascii="Arial" w:hAnsi="Arial"/>
                <w:sz w:val="18"/>
              </w:rPr>
              <w:t xml:space="preserve">2.0344</w:t>
            </w:r>
          </w:p>
        </w:tc>
        <w:tc>
          <w:tcPr>
            <w:tcW w:type="dxa" w:w="1440"/>
          </w:tcPr>
          <w:p>
            <w:pPr>
              <w:jc w:val="center"/>
            </w:pPr>
            <w:r>
              <w:rPr>
                <w:rFonts w:ascii="Arial" w:hAnsi="Arial"/>
                <w:sz w:val="18"/>
              </w:rPr>
              <w:t xml:space="preserve">3.3035</w:t>
            </w:r>
          </w:p>
        </w:tc>
        <w:tc>
          <w:tcPr>
            <w:tcW w:type="dxa" w:w="1440"/>
          </w:tcPr>
          <w:p>
            <w:pPr>
              <w:jc w:val="center"/>
            </w:pPr>
            <w:r>
              <w:rPr>
                <w:rFonts w:ascii="Arial" w:hAnsi="Arial"/>
                <w:sz w:val="18"/>
              </w:rPr>
              <w:t xml:space="preserve">0.9303</w:t>
            </w:r>
          </w:p>
        </w:tc>
        <w:tc>
          <w:tcPr>
            <w:tcW w:type="dxa" w:w="1440"/>
          </w:tcPr>
          <w:p>
            <w:pPr>
              <w:jc w:val="center"/>
            </w:pPr>
            <w:r>
              <w:rPr>
                <w:rFonts w:ascii="Arial" w:hAnsi="Arial"/>
                <w:sz w:val="18"/>
              </w:rPr>
              <w:t xml:space="preserve">713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Kalyani Logistics 832 LLP</w:t>
            </w:r>
          </w:p>
        </w:tc>
        <w:tc>
          <w:tcPr>
            <w:tcW w:type="dxa" w:w="1440"/>
          </w:tcPr>
          <w:p>
            <w:pPr>
              <w:jc w:val="center"/>
            </w:pPr>
            <w:r>
              <w:rPr>
                <w:rFonts w:ascii="Arial" w:hAnsi="Arial"/>
                <w:sz w:val="18"/>
              </w:rPr>
              <w:t xml:space="preserve">₹28.34 Lakh</w:t>
            </w:r>
          </w:p>
        </w:tc>
        <w:tc>
          <w:tcPr>
            <w:tcW w:type="dxa" w:w="1440"/>
          </w:tcPr>
          <w:p>
            <w:pPr>
              <w:jc w:val="center"/>
            </w:pPr>
            <w:r>
              <w:rPr>
                <w:rFonts w:ascii="Arial" w:hAnsi="Arial"/>
                <w:sz w:val="18"/>
              </w:rPr>
              <w:t xml:space="preserve">1.8702</w:t>
            </w:r>
          </w:p>
        </w:tc>
        <w:tc>
          <w:tcPr>
            <w:tcW w:type="dxa" w:w="1440"/>
          </w:tcPr>
          <w:p>
            <w:pPr>
              <w:jc w:val="center"/>
            </w:pPr>
            <w:r>
              <w:rPr>
                <w:rFonts w:ascii="Arial" w:hAnsi="Arial"/>
                <w:sz w:val="18"/>
              </w:rPr>
              <w:t xml:space="preserve">1.6588</w:t>
            </w:r>
          </w:p>
        </w:tc>
        <w:tc>
          <w:tcPr>
            <w:tcW w:type="dxa" w:w="1440"/>
          </w:tcPr>
          <w:p>
            <w:pPr>
              <w:jc w:val="center"/>
            </w:pPr>
            <w:r>
              <w:rPr>
                <w:rFonts w:ascii="Arial" w:hAnsi="Arial"/>
                <w:sz w:val="18"/>
              </w:rPr>
              <w:t xml:space="preserve">1.2685</w:t>
            </w:r>
          </w:p>
        </w:tc>
        <w:tc>
          <w:tcPr>
            <w:tcW w:type="dxa" w:w="1440"/>
          </w:tcPr>
          <w:p>
            <w:pPr>
              <w:jc w:val="center"/>
            </w:pPr>
            <w:r>
              <w:rPr>
                <w:rFonts w:ascii="Arial" w:hAnsi="Arial"/>
                <w:sz w:val="18"/>
              </w:rPr>
              <w:t xml:space="preserve">576</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2.0878</w:t>
            </w:r>
          </w:p>
        </w:tc>
        <w:tc>
          <w:tcPr>
            <w:tcW w:type="dxa" w:w="1440"/>
            <w:shd w:fill="F3F4F6"/>
          </w:tcPr>
          <w:p>
            <w:pPr>
              <w:jc w:val="center"/>
            </w:pPr>
            <w:r>
              <w:rPr>
                <w:rFonts w:ascii="Arial" w:hAnsi="Arial"/>
                <w:b/>
                <w:sz w:val="18"/>
              </w:rPr>
              <w:t xml:space="preserve">6.5140</w:t>
            </w:r>
          </w:p>
        </w:tc>
        <w:tc>
          <w:tcPr>
            <w:tcW w:type="dxa" w:w="1440"/>
            <w:shd w:fill="F3F4F6"/>
          </w:tcPr>
          <w:p>
            <w:pPr>
              <w:jc w:val="center"/>
            </w:pPr>
            <w:r>
              <w:rPr>
                <w:rFonts w:ascii="Arial" w:hAnsi="Arial"/>
                <w:b/>
                <w:sz w:val="18"/>
              </w:rPr>
              <w:t xml:space="preserve">0.7119</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been found to be fair and unbiased, with no flips detected. The decision is based on a comprehensive analysis of the company's financial health, risk profile, and industry position. The low risk score and 'APPROVE' verdict are supported by the data and analysis.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MODEL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85.2%</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but the AI analysis suggests that the company's financial health and low leverage are key factors in the 'APPROVE' verdict. The discussion would likely focus on the company's ability to service debt and navigate industry challenges, with the AI analysis providing a comprehensive overview of the company's credit profile.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LOW_RISK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