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Karan Enterprises 592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₹15.00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05 July 2026, 16:00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Karan Enterprises 592 Partnership Firm, operating in the Healthcare Services industry, exhibits a relatively healthy financial profile with a low risk score of 0.0837, falling under the LOW risk band. The AI-driven risk verdict recommends approval of the loan application. However, it is essential to consider the corrective actions and key concerns to further enhance the credit profile. The company's financial health and market position support a positive credit decision.</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Karan Enterprises 592 Partnership Firm is a partnership firm operating in the Healthcare Services industry. The company's market position is not explicitly stated, but its financial health and low risk score indicate a stable business. Further analysis of the company's market share and competitive landscape would provide a more comprehensive understanding of its business overview.</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0.0837, indicating a minimal likelihood of default</w:t>
              <w:br/>
              <w:t xml:space="preserve">• Healthy debt service coverage ratio (DSCR) of 1.4275</w:t>
              <w:br/>
              <w:t xml:space="preserve">• Low leverage of 1.4176, suggesting a manageable debt burden</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Insufficient financial data, including revenue, EBITDA, total debt, and net worth</w:t>
              <w:br/>
              <w:t xml:space="preserve">• Unknown MCA status and potential defaulter status</w:t>
              <w:br/>
              <w:t xml:space="preserve">• GST discrepancy percentage of 1.42, which may indicate potential tax compliance issues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Karan Enterprises 592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XFUFK6214P</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27XFUFK6214P7ZB</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1.4275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1.4517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1.4176</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9.4%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17.4%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1.4%</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4.0%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₹11.20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Karan Enterprises 592 Partnership Firm, with only one news article found. The sentiment of this news is not explicitly stated, and further analysis would be required to determine the overall news sentiment. The lack of news coverage may indicate a relatively low public profile for the company.</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Karan Enterprises 592 Partnership Firm has no reported litigations, which is a positive indicator of its creditworthiness. The absence of litigation exposure reduces the risk of potential legal liabilities and financial losses. However, it is essential to continue monitoring the company's litigation profile to ensure no new cases arise.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Healthcare Services industry is subject to various challenges, including regulatory changes, increasing competition, and evolving patient needs. Despite these headwinds, the industry is expected to continue growing, driven by an increasing demand for healthcare services. Karan Enterprises 592 Partnership Firm must navigate these challenges to maintain its market position and financial stability.</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0.0837</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₹14.25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883</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0.1477</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0.1135</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0.0616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0.0034</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0.0028</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and accurate financial data, including revenue, EBITDA, total debt, and net worth</w:t>
              <w:br/>
              <w:t xml:space="preserve">• Address the GST discrepancy percentage of 1.42 to ensure tax compliance</w:t>
              <w:br/>
              <w:t xml:space="preserve">• Obtain a clear MCA status and defaulter status to mitigate potential risks</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Ambika Enterprises 353 Private Limited</w:t>
            </w:r>
          </w:p>
        </w:tc>
        <w:tc>
          <w:tcPr>
            <w:tcW w:type="dxa" w:w="1440"/>
          </w:tcPr>
          <w:p>
            <w:pPr>
              <w:jc w:val="center"/>
            </w:pPr>
            <w:r>
              <w:rPr>
                <w:rFonts w:ascii="Arial" w:hAnsi="Arial"/>
                <w:sz w:val="18"/>
              </w:rPr>
              <w:t xml:space="preserve">₹20.88 Lakh</w:t>
            </w:r>
          </w:p>
        </w:tc>
        <w:tc>
          <w:tcPr>
            <w:tcW w:type="dxa" w:w="1440"/>
          </w:tcPr>
          <w:p>
            <w:pPr>
              <w:jc w:val="center"/>
            </w:pPr>
            <w:r>
              <w:rPr>
                <w:rFonts w:ascii="Arial" w:hAnsi="Arial"/>
                <w:sz w:val="18"/>
              </w:rPr>
              <w:t xml:space="preserve">1.8260</w:t>
            </w:r>
          </w:p>
        </w:tc>
        <w:tc>
          <w:tcPr>
            <w:tcW w:type="dxa" w:w="1440"/>
          </w:tcPr>
          <w:p>
            <w:pPr>
              <w:jc w:val="center"/>
            </w:pPr>
            <w:r>
              <w:rPr>
                <w:rFonts w:ascii="Arial" w:hAnsi="Arial"/>
                <w:sz w:val="18"/>
              </w:rPr>
              <w:t xml:space="preserve">1.1234</w:t>
            </w:r>
          </w:p>
        </w:tc>
        <w:tc>
          <w:tcPr>
            <w:tcW w:type="dxa" w:w="1440"/>
          </w:tcPr>
          <w:p>
            <w:pPr>
              <w:jc w:val="center"/>
            </w:pPr>
            <w:r>
              <w:rPr>
                <w:rFonts w:ascii="Arial" w:hAnsi="Arial"/>
                <w:sz w:val="18"/>
              </w:rPr>
              <w:t xml:space="preserve">1.4823</w:t>
            </w:r>
          </w:p>
        </w:tc>
        <w:tc>
          <w:tcPr>
            <w:tcW w:type="dxa" w:w="1440"/>
          </w:tcPr>
          <w:p>
            <w:pPr>
              <w:jc w:val="center"/>
            </w:pPr>
            <w:r>
              <w:rPr>
                <w:rFonts w:ascii="Arial" w:hAnsi="Arial"/>
                <w:sz w:val="18"/>
              </w:rPr>
              <w:t xml:space="preserve">624</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Ganesh Logistics 771 Private Limited</w:t>
            </w:r>
          </w:p>
        </w:tc>
        <w:tc>
          <w:tcPr>
            <w:tcW w:type="dxa" w:w="1440"/>
          </w:tcPr>
          <w:p>
            <w:pPr>
              <w:jc w:val="center"/>
            </w:pPr>
            <w:r>
              <w:rPr>
                <w:rFonts w:ascii="Arial" w:hAnsi="Arial"/>
                <w:sz w:val="18"/>
              </w:rPr>
              <w:t xml:space="preserve">₹23.10 Lakh</w:t>
            </w:r>
          </w:p>
        </w:tc>
        <w:tc>
          <w:tcPr>
            <w:tcW w:type="dxa" w:w="1440"/>
          </w:tcPr>
          <w:p>
            <w:pPr>
              <w:jc w:val="center"/>
            </w:pPr>
            <w:r>
              <w:rPr>
                <w:rFonts w:ascii="Arial" w:hAnsi="Arial"/>
                <w:sz w:val="18"/>
              </w:rPr>
              <w:t xml:space="preserve">1.8152</w:t>
            </w:r>
          </w:p>
        </w:tc>
        <w:tc>
          <w:tcPr>
            <w:tcW w:type="dxa" w:w="1440"/>
          </w:tcPr>
          <w:p>
            <w:pPr>
              <w:jc w:val="center"/>
            </w:pPr>
            <w:r>
              <w:rPr>
                <w:rFonts w:ascii="Arial" w:hAnsi="Arial"/>
                <w:sz w:val="18"/>
              </w:rPr>
              <w:t xml:space="preserve">3.4871</w:t>
            </w:r>
          </w:p>
        </w:tc>
        <w:tc>
          <w:tcPr>
            <w:tcW w:type="dxa" w:w="1440"/>
          </w:tcPr>
          <w:p>
            <w:pPr>
              <w:jc w:val="center"/>
            </w:pPr>
            <w:r>
              <w:rPr>
                <w:rFonts w:ascii="Arial" w:hAnsi="Arial"/>
                <w:sz w:val="18"/>
              </w:rPr>
              <w:t xml:space="preserve">1.1821</w:t>
            </w:r>
          </w:p>
        </w:tc>
        <w:tc>
          <w:tcPr>
            <w:tcW w:type="dxa" w:w="1440"/>
          </w:tcPr>
          <w:p>
            <w:pPr>
              <w:jc w:val="center"/>
            </w:pPr>
            <w:r>
              <w:rPr>
                <w:rFonts w:ascii="Arial" w:hAnsi="Arial"/>
                <w:sz w:val="18"/>
              </w:rPr>
              <w:t xml:space="preserve">816</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Navrachana Retail 728 LLP</w:t>
            </w:r>
          </w:p>
        </w:tc>
        <w:tc>
          <w:tcPr>
            <w:tcW w:type="dxa" w:w="1440"/>
          </w:tcPr>
          <w:p>
            <w:pPr>
              <w:jc w:val="center"/>
            </w:pPr>
            <w:r>
              <w:rPr>
                <w:rFonts w:ascii="Arial" w:hAnsi="Arial"/>
                <w:sz w:val="18"/>
              </w:rPr>
              <w:t xml:space="preserve">₹25.41 Lakh</w:t>
            </w:r>
          </w:p>
        </w:tc>
        <w:tc>
          <w:tcPr>
            <w:tcW w:type="dxa" w:w="1440"/>
          </w:tcPr>
          <w:p>
            <w:pPr>
              <w:jc w:val="center"/>
            </w:pPr>
            <w:r>
              <w:rPr>
                <w:rFonts w:ascii="Arial" w:hAnsi="Arial"/>
                <w:sz w:val="18"/>
              </w:rPr>
              <w:t xml:space="preserve">1.5181</w:t>
            </w:r>
          </w:p>
        </w:tc>
        <w:tc>
          <w:tcPr>
            <w:tcW w:type="dxa" w:w="1440"/>
          </w:tcPr>
          <w:p>
            <w:pPr>
              <w:jc w:val="center"/>
            </w:pPr>
            <w:r>
              <w:rPr>
                <w:rFonts w:ascii="Arial" w:hAnsi="Arial"/>
                <w:sz w:val="18"/>
              </w:rPr>
              <w:t xml:space="preserve">2.4544</w:t>
            </w:r>
          </w:p>
        </w:tc>
        <w:tc>
          <w:tcPr>
            <w:tcW w:type="dxa" w:w="1440"/>
          </w:tcPr>
          <w:p>
            <w:pPr>
              <w:jc w:val="center"/>
            </w:pPr>
            <w:r>
              <w:rPr>
                <w:rFonts w:ascii="Arial" w:hAnsi="Arial"/>
                <w:sz w:val="18"/>
              </w:rPr>
              <w:t xml:space="preserve">1.0669</w:t>
            </w:r>
          </w:p>
        </w:tc>
        <w:tc>
          <w:tcPr>
            <w:tcW w:type="dxa" w:w="1440"/>
          </w:tcPr>
          <w:p>
            <w:pPr>
              <w:jc w:val="center"/>
            </w:pPr>
            <w:r>
              <w:rPr>
                <w:rFonts w:ascii="Arial" w:hAnsi="Arial"/>
                <w:sz w:val="18"/>
              </w:rPr>
              <w:t xml:space="preserve">714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Karan Pharma 881 Private Limited</w:t>
            </w:r>
          </w:p>
        </w:tc>
        <w:tc>
          <w:tcPr>
            <w:tcW w:type="dxa" w:w="1440"/>
          </w:tcPr>
          <w:p>
            <w:pPr>
              <w:jc w:val="center"/>
            </w:pPr>
            <w:r>
              <w:rPr>
                <w:rFonts w:ascii="Arial" w:hAnsi="Arial"/>
                <w:sz w:val="18"/>
              </w:rPr>
              <w:t xml:space="preserve">₹25.63 Lakh</w:t>
            </w:r>
          </w:p>
        </w:tc>
        <w:tc>
          <w:tcPr>
            <w:tcW w:type="dxa" w:w="1440"/>
          </w:tcPr>
          <w:p>
            <w:pPr>
              <w:jc w:val="center"/>
            </w:pPr>
            <w:r>
              <w:rPr>
                <w:rFonts w:ascii="Arial" w:hAnsi="Arial"/>
                <w:sz w:val="18"/>
              </w:rPr>
              <w:t xml:space="preserve">2.1062</w:t>
            </w:r>
          </w:p>
        </w:tc>
        <w:tc>
          <w:tcPr>
            <w:tcW w:type="dxa" w:w="1440"/>
          </w:tcPr>
          <w:p>
            <w:pPr>
              <w:jc w:val="center"/>
            </w:pPr>
            <w:r>
              <w:rPr>
                <w:rFonts w:ascii="Arial" w:hAnsi="Arial"/>
                <w:sz w:val="18"/>
              </w:rPr>
              <w:t xml:space="preserve">2.6384</w:t>
            </w:r>
          </w:p>
        </w:tc>
        <w:tc>
          <w:tcPr>
            <w:tcW w:type="dxa" w:w="1440"/>
          </w:tcPr>
          <w:p>
            <w:pPr>
              <w:jc w:val="center"/>
            </w:pPr>
            <w:r>
              <w:rPr>
                <w:rFonts w:ascii="Arial" w:hAnsi="Arial"/>
                <w:sz w:val="18"/>
              </w:rPr>
              <w:t xml:space="preserve">0.8476</w:t>
            </w:r>
          </w:p>
        </w:tc>
        <w:tc>
          <w:tcPr>
            <w:tcW w:type="dxa" w:w="1440"/>
          </w:tcPr>
          <w:p>
            <w:pPr>
              <w:jc w:val="center"/>
            </w:pPr>
            <w:r>
              <w:rPr>
                <w:rFonts w:ascii="Arial" w:hAnsi="Arial"/>
                <w:sz w:val="18"/>
              </w:rPr>
              <w:t xml:space="preserve">731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Bharat Metals 448 LLP</w:t>
            </w:r>
          </w:p>
        </w:tc>
        <w:tc>
          <w:tcPr>
            <w:tcW w:type="dxa" w:w="1440"/>
          </w:tcPr>
          <w:p>
            <w:pPr>
              <w:jc w:val="center"/>
            </w:pPr>
            <w:r>
              <w:rPr>
                <w:rFonts w:ascii="Arial" w:hAnsi="Arial"/>
                <w:sz w:val="18"/>
              </w:rPr>
              <w:t xml:space="preserve">₹27.21 Lakh</w:t>
            </w:r>
          </w:p>
        </w:tc>
        <w:tc>
          <w:tcPr>
            <w:tcW w:type="dxa" w:w="1440"/>
          </w:tcPr>
          <w:p>
            <w:pPr>
              <w:jc w:val="center"/>
            </w:pPr>
            <w:r>
              <w:rPr>
                <w:rFonts w:ascii="Arial" w:hAnsi="Arial"/>
                <w:sz w:val="18"/>
              </w:rPr>
              <w:t xml:space="preserve">1.4612</w:t>
            </w:r>
          </w:p>
        </w:tc>
        <w:tc>
          <w:tcPr>
            <w:tcW w:type="dxa" w:w="1440"/>
          </w:tcPr>
          <w:p>
            <w:pPr>
              <w:jc w:val="center"/>
            </w:pPr>
            <w:r>
              <w:rPr>
                <w:rFonts w:ascii="Arial" w:hAnsi="Arial"/>
                <w:sz w:val="18"/>
              </w:rPr>
              <w:t xml:space="preserve">2.1351</w:t>
            </w:r>
          </w:p>
        </w:tc>
        <w:tc>
          <w:tcPr>
            <w:tcW w:type="dxa" w:w="1440"/>
          </w:tcPr>
          <w:p>
            <w:pPr>
              <w:jc w:val="center"/>
            </w:pPr>
            <w:r>
              <w:rPr>
                <w:rFonts w:ascii="Arial" w:hAnsi="Arial"/>
                <w:sz w:val="18"/>
              </w:rPr>
              <w:t xml:space="preserve">1.2609</w:t>
            </w:r>
          </w:p>
        </w:tc>
        <w:tc>
          <w:tcPr>
            <w:tcW w:type="dxa" w:w="1440"/>
          </w:tcPr>
          <w:p>
            <w:pPr>
              <w:jc w:val="center"/>
            </w:pPr>
            <w:r>
              <w:rPr>
                <w:rFonts w:ascii="Arial" w:hAnsi="Arial"/>
                <w:sz w:val="18"/>
              </w:rPr>
              <w:t xml:space="preserve">817</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1.7083</w:t>
            </w:r>
          </w:p>
        </w:tc>
        <w:tc>
          <w:tcPr>
            <w:tcW w:type="dxa" w:w="1440"/>
            <w:shd w:fill="F3F4F6"/>
          </w:tcPr>
          <w:p>
            <w:pPr>
              <w:jc w:val="center"/>
            </w:pPr>
            <w:r>
              <w:rPr>
                <w:rFonts w:ascii="Arial" w:hAnsi="Arial"/>
                <w:b/>
                <w:sz w:val="18"/>
              </w:rPr>
              <w:t xml:space="preserve">2.8222</w:t>
            </w:r>
          </w:p>
        </w:tc>
        <w:tc>
          <w:tcPr>
            <w:tcW w:type="dxa" w:w="1440"/>
            <w:shd w:fill="F3F4F6"/>
          </w:tcPr>
          <w:p>
            <w:pPr>
              <w:jc w:val="center"/>
            </w:pPr>
            <w:r>
              <w:rPr>
                <w:rFonts w:ascii="Arial" w:hAnsi="Arial"/>
                <w:b/>
                <w:sz w:val="18"/>
              </w:rPr>
              <w:t xml:space="preserve">1.2627</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AI-driven decision-making process has been tested for bias, and the results indicate no bias, with zero flips. This suggests that the decision is fair and unbiased, providing a reliable credit assessment. However, it is essential to continue monitoring the AI system's performance to ensure it remains unbiased and accurate.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therefore, no summary can be provided. It is recommended that a personal discussion be conducted to gather more information about the company's credit profile and to address any concerns or questions that may arise during the credit evaluation process.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